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05B" w:rsidRPr="00187724" w:rsidRDefault="000B416C" w:rsidP="009A32DA">
      <w:pPr>
        <w:spacing w:beforeLines="50" w:before="156" w:line="360" w:lineRule="auto"/>
        <w:jc w:val="center"/>
        <w:rPr>
          <w:rFonts w:asciiTheme="minorEastAsia" w:eastAsiaTheme="minorEastAsia" w:hAnsiTheme="minorEastAsia" w:cs="Times New Roman"/>
          <w:b/>
          <w:bCs/>
          <w:sz w:val="28"/>
          <w:szCs w:val="28"/>
        </w:rPr>
      </w:pPr>
      <w:r>
        <w:rPr>
          <w:rFonts w:asciiTheme="minorEastAsia" w:eastAsiaTheme="minorEastAsia" w:hAnsiTheme="minorEastAsia"/>
          <w:b/>
          <w:bCs/>
          <w:sz w:val="28"/>
          <w:szCs w:val="28"/>
        </w:rPr>
        <w:t>201</w:t>
      </w:r>
      <w:r>
        <w:rPr>
          <w:rFonts w:asciiTheme="minorEastAsia" w:eastAsiaTheme="minorEastAsia" w:hAnsiTheme="minorEastAsia" w:hint="eastAsia"/>
          <w:b/>
          <w:bCs/>
          <w:sz w:val="28"/>
          <w:szCs w:val="28"/>
        </w:rPr>
        <w:t>5</w:t>
      </w:r>
      <w:r w:rsidR="0096105B" w:rsidRPr="00187724">
        <w:rPr>
          <w:rFonts w:asciiTheme="minorEastAsia" w:eastAsiaTheme="minorEastAsia" w:hAnsiTheme="minorEastAsia" w:cs="宋体" w:hint="eastAsia"/>
          <w:b/>
          <w:bCs/>
          <w:sz w:val="28"/>
          <w:szCs w:val="28"/>
        </w:rPr>
        <w:t>年</w:t>
      </w:r>
      <w:r w:rsidR="00EB4540">
        <w:rPr>
          <w:rFonts w:asciiTheme="minorEastAsia" w:eastAsiaTheme="minorEastAsia" w:hAnsiTheme="minorEastAsia" w:cs="宋体" w:hint="eastAsia"/>
          <w:b/>
          <w:bCs/>
          <w:sz w:val="28"/>
          <w:szCs w:val="28"/>
        </w:rPr>
        <w:t>12</w:t>
      </w:r>
      <w:r w:rsidR="0096105B" w:rsidRPr="00187724">
        <w:rPr>
          <w:rFonts w:asciiTheme="minorEastAsia" w:eastAsiaTheme="minorEastAsia" w:hAnsiTheme="minorEastAsia" w:cs="宋体" w:hint="eastAsia"/>
          <w:b/>
          <w:bCs/>
          <w:sz w:val="28"/>
          <w:szCs w:val="28"/>
        </w:rPr>
        <w:t>月“高校教学名师谈教学”</w:t>
      </w:r>
    </w:p>
    <w:p w:rsidR="0096105B" w:rsidRPr="00187724" w:rsidRDefault="0096105B" w:rsidP="009A32DA">
      <w:pPr>
        <w:spacing w:beforeLines="50" w:before="156" w:line="360" w:lineRule="auto"/>
        <w:jc w:val="center"/>
        <w:rPr>
          <w:rFonts w:asciiTheme="minorEastAsia" w:eastAsiaTheme="minorEastAsia" w:hAnsiTheme="minorEastAsia" w:cs="Times New Roman"/>
          <w:b/>
          <w:bCs/>
          <w:sz w:val="28"/>
          <w:szCs w:val="28"/>
        </w:rPr>
      </w:pPr>
      <w:r w:rsidRPr="00187724">
        <w:rPr>
          <w:rFonts w:asciiTheme="minorEastAsia" w:eastAsiaTheme="minorEastAsia" w:hAnsiTheme="minorEastAsia"/>
          <w:b/>
          <w:bCs/>
          <w:sz w:val="28"/>
          <w:szCs w:val="28"/>
        </w:rPr>
        <w:t>——</w:t>
      </w:r>
      <w:r w:rsidR="00EB4540">
        <w:rPr>
          <w:rFonts w:asciiTheme="minorEastAsia" w:eastAsiaTheme="minorEastAsia" w:hAnsiTheme="minorEastAsia" w:cs="宋体" w:hint="eastAsia"/>
          <w:b/>
          <w:bCs/>
          <w:sz w:val="28"/>
          <w:szCs w:val="28"/>
        </w:rPr>
        <w:t>青年骨干教师教学能力提升培训班（文</w:t>
      </w:r>
      <w:r w:rsidRPr="00187724">
        <w:rPr>
          <w:rFonts w:asciiTheme="minorEastAsia" w:eastAsiaTheme="minorEastAsia" w:hAnsiTheme="minorEastAsia" w:cs="宋体" w:hint="eastAsia"/>
          <w:b/>
          <w:bCs/>
          <w:sz w:val="28"/>
          <w:szCs w:val="28"/>
        </w:rPr>
        <w:t>科）</w:t>
      </w:r>
    </w:p>
    <w:p w:rsidR="00E45DE9" w:rsidRDefault="0096105B" w:rsidP="00E45DE9">
      <w:pPr>
        <w:spacing w:beforeLines="50" w:before="156" w:line="360" w:lineRule="auto"/>
        <w:jc w:val="center"/>
        <w:rPr>
          <w:rFonts w:asciiTheme="minorEastAsia" w:eastAsiaTheme="minorEastAsia" w:hAnsiTheme="minorEastAsia" w:cs="宋体"/>
          <w:b/>
          <w:bCs/>
          <w:sz w:val="28"/>
          <w:szCs w:val="28"/>
        </w:rPr>
      </w:pPr>
      <w:r w:rsidRPr="00187724">
        <w:rPr>
          <w:rFonts w:asciiTheme="minorEastAsia" w:eastAsiaTheme="minorEastAsia" w:hAnsiTheme="minorEastAsia" w:cs="宋体" w:hint="eastAsia"/>
          <w:b/>
          <w:bCs/>
          <w:sz w:val="28"/>
          <w:szCs w:val="28"/>
        </w:rPr>
        <w:t>讲座专家简介</w:t>
      </w:r>
    </w:p>
    <w:p w:rsidR="00E45DE9" w:rsidRPr="00E45DE9" w:rsidRDefault="00E45DE9" w:rsidP="00E45DE9">
      <w:pPr>
        <w:spacing w:beforeLines="50" w:before="156" w:line="360" w:lineRule="auto"/>
        <w:jc w:val="center"/>
        <w:rPr>
          <w:rFonts w:asciiTheme="minorEastAsia" w:eastAsiaTheme="minorEastAsia" w:hAnsiTheme="minorEastAsia" w:cs="宋体"/>
          <w:b/>
          <w:bCs/>
          <w:sz w:val="10"/>
          <w:szCs w:val="10"/>
        </w:rPr>
      </w:pPr>
    </w:p>
    <w:p w:rsidR="00EB4540" w:rsidRPr="00EB4540" w:rsidRDefault="00760611" w:rsidP="00EB4540">
      <w:pPr>
        <w:widowControl/>
        <w:spacing w:line="360" w:lineRule="auto"/>
        <w:jc w:val="left"/>
        <w:outlineLvl w:val="4"/>
        <w:rPr>
          <w:rFonts w:ascii="仿宋_GB2312" w:hAnsi="仿宋_GB2312" w:cs="宋体" w:hint="eastAsia"/>
          <w:color w:val="000000"/>
          <w:kern w:val="0"/>
          <w:sz w:val="24"/>
        </w:rPr>
      </w:pPr>
      <w:r>
        <w:rPr>
          <w:rFonts w:asciiTheme="minorEastAsia" w:eastAsiaTheme="minorEastAsia" w:hAnsiTheme="minorEastAsia" w:cs="宋体" w:hint="eastAsia"/>
          <w:b/>
          <w:bCs/>
          <w:color w:val="000000" w:themeColor="text1"/>
          <w:sz w:val="24"/>
          <w:szCs w:val="24"/>
        </w:rPr>
        <w:t xml:space="preserve">1. </w:t>
      </w:r>
      <w:r w:rsidR="00EB4540">
        <w:rPr>
          <w:rFonts w:asciiTheme="minorEastAsia" w:eastAsiaTheme="minorEastAsia" w:hAnsiTheme="minorEastAsia" w:cs="宋体" w:hint="eastAsia"/>
          <w:b/>
          <w:bCs/>
          <w:color w:val="000000" w:themeColor="text1"/>
          <w:sz w:val="24"/>
          <w:szCs w:val="24"/>
        </w:rPr>
        <w:t>朱孝远</w:t>
      </w:r>
      <w:r>
        <w:rPr>
          <w:rFonts w:asciiTheme="minorEastAsia" w:eastAsiaTheme="minorEastAsia" w:hAnsiTheme="minorEastAsia" w:cs="宋体" w:hint="eastAsia"/>
          <w:b/>
          <w:bCs/>
          <w:color w:val="000000" w:themeColor="text1"/>
          <w:sz w:val="24"/>
          <w:szCs w:val="24"/>
        </w:rPr>
        <w:t>，</w:t>
      </w:r>
      <w:r w:rsidR="00EB4540" w:rsidRPr="00EB4540">
        <w:rPr>
          <w:rFonts w:ascii="仿宋_GB2312" w:hAnsi="仿宋_GB2312" w:cs="宋体" w:hint="eastAsia"/>
          <w:color w:val="000000"/>
          <w:kern w:val="0"/>
          <w:sz w:val="24"/>
        </w:rPr>
        <w:t>留美博士（</w:t>
      </w:r>
      <w:r w:rsidR="00EB4540" w:rsidRPr="00EB4540">
        <w:rPr>
          <w:rFonts w:ascii="仿宋_GB2312" w:hAnsi="仿宋_GB2312" w:cs="宋体" w:hint="eastAsia"/>
          <w:color w:val="000000"/>
          <w:kern w:val="0"/>
          <w:sz w:val="24"/>
        </w:rPr>
        <w:t>PhD</w:t>
      </w:r>
      <w:r w:rsidR="00EB4540" w:rsidRPr="00EB4540">
        <w:rPr>
          <w:rFonts w:ascii="仿宋_GB2312" w:hAnsi="仿宋_GB2312" w:cs="宋体" w:hint="eastAsia"/>
          <w:color w:val="000000"/>
          <w:kern w:val="0"/>
          <w:sz w:val="24"/>
        </w:rPr>
        <w:t>），欧洲中古史、近代早期史方向。现为北京大学历史系教授，美国俄勒冈大学荣誉教授，清华大学、中国科学院大学、北京外国语大学兼职教授。欧洲中世纪史、世界文化史两个方向博士生导师，北京市高等学校教学名师，中国世界中世纪史学会副会长，中国英国史学会理事。曾获国际级奖</w:t>
      </w:r>
      <w:r w:rsidR="00EB4540" w:rsidRPr="00EB4540">
        <w:rPr>
          <w:rFonts w:ascii="仿宋_GB2312" w:hAnsi="仿宋_GB2312" w:cs="宋体" w:hint="eastAsia"/>
          <w:color w:val="000000"/>
          <w:kern w:val="0"/>
          <w:sz w:val="24"/>
        </w:rPr>
        <w:t>4</w:t>
      </w:r>
      <w:r w:rsidR="00EB4540" w:rsidRPr="00EB4540">
        <w:rPr>
          <w:rFonts w:ascii="仿宋_GB2312" w:hAnsi="仿宋_GB2312" w:cs="宋体" w:hint="eastAsia"/>
          <w:color w:val="000000"/>
          <w:kern w:val="0"/>
          <w:sz w:val="24"/>
        </w:rPr>
        <w:t>项、国家级奖</w:t>
      </w:r>
      <w:r w:rsidR="00EB4540" w:rsidRPr="00EB4540">
        <w:rPr>
          <w:rFonts w:ascii="仿宋_GB2312" w:hAnsi="仿宋_GB2312" w:cs="宋体" w:hint="eastAsia"/>
          <w:color w:val="000000"/>
          <w:kern w:val="0"/>
          <w:sz w:val="24"/>
        </w:rPr>
        <w:t>8</w:t>
      </w:r>
      <w:r w:rsidR="00EB4540" w:rsidRPr="00EB4540">
        <w:rPr>
          <w:rFonts w:ascii="仿宋_GB2312" w:hAnsi="仿宋_GB2312" w:cs="宋体" w:hint="eastAsia"/>
          <w:color w:val="000000"/>
          <w:kern w:val="0"/>
          <w:sz w:val="24"/>
        </w:rPr>
        <w:t>项，省部级奖</w:t>
      </w:r>
      <w:r w:rsidR="00EB4540" w:rsidRPr="00EB4540">
        <w:rPr>
          <w:rFonts w:ascii="仿宋_GB2312" w:hAnsi="仿宋_GB2312" w:cs="宋体" w:hint="eastAsia"/>
          <w:color w:val="000000"/>
          <w:kern w:val="0"/>
          <w:sz w:val="24"/>
        </w:rPr>
        <w:t>16</w:t>
      </w:r>
      <w:r w:rsidR="00EB4540" w:rsidRPr="00EB4540">
        <w:rPr>
          <w:rFonts w:ascii="仿宋_GB2312" w:hAnsi="仿宋_GB2312" w:cs="宋体" w:hint="eastAsia"/>
          <w:color w:val="000000"/>
          <w:kern w:val="0"/>
          <w:sz w:val="24"/>
        </w:rPr>
        <w:t>项，其他奖</w:t>
      </w:r>
      <w:r w:rsidR="00EB4540" w:rsidRPr="00EB4540">
        <w:rPr>
          <w:rFonts w:ascii="仿宋_GB2312" w:hAnsi="仿宋_GB2312" w:cs="宋体" w:hint="eastAsia"/>
          <w:color w:val="000000"/>
          <w:kern w:val="0"/>
          <w:sz w:val="24"/>
        </w:rPr>
        <w:t>7</w:t>
      </w:r>
      <w:r w:rsidR="00EB4540" w:rsidRPr="00EB4540">
        <w:rPr>
          <w:rFonts w:ascii="仿宋_GB2312" w:hAnsi="仿宋_GB2312" w:cs="宋体" w:hint="eastAsia"/>
          <w:color w:val="000000"/>
          <w:kern w:val="0"/>
          <w:sz w:val="24"/>
        </w:rPr>
        <w:t>项。主要已经出版的著作共有</w:t>
      </w:r>
      <w:r w:rsidR="00EB4540" w:rsidRPr="00EB4540">
        <w:rPr>
          <w:rFonts w:ascii="仿宋_GB2312" w:hAnsi="仿宋_GB2312" w:cs="宋体" w:hint="eastAsia"/>
          <w:color w:val="000000"/>
          <w:kern w:val="0"/>
          <w:sz w:val="24"/>
        </w:rPr>
        <w:t>25</w:t>
      </w:r>
      <w:r w:rsidR="00EB4540" w:rsidRPr="00EB4540">
        <w:rPr>
          <w:rFonts w:ascii="仿宋_GB2312" w:hAnsi="仿宋_GB2312" w:cs="宋体" w:hint="eastAsia"/>
          <w:color w:val="000000"/>
          <w:kern w:val="0"/>
          <w:sz w:val="24"/>
        </w:rPr>
        <w:t>部，</w:t>
      </w:r>
      <w:r w:rsidR="00EB4540" w:rsidRPr="00EB4540">
        <w:rPr>
          <w:rFonts w:ascii="仿宋_GB2312" w:hAnsi="仿宋_GB2312" w:cs="宋体" w:hint="eastAsia"/>
          <w:color w:val="000000"/>
          <w:kern w:val="0"/>
          <w:sz w:val="24"/>
        </w:rPr>
        <w:t xml:space="preserve"> </w:t>
      </w:r>
      <w:r w:rsidR="00EB4540" w:rsidRPr="00EB4540">
        <w:rPr>
          <w:rFonts w:ascii="仿宋_GB2312" w:hAnsi="仿宋_GB2312" w:cs="宋体" w:hint="eastAsia"/>
          <w:color w:val="000000"/>
          <w:kern w:val="0"/>
          <w:sz w:val="24"/>
        </w:rPr>
        <w:t>包括独著的《宗教改革与德国近代化道路》（受中宣部表彰）等</w:t>
      </w:r>
      <w:r w:rsidR="00EB4540" w:rsidRPr="00EB4540">
        <w:rPr>
          <w:rFonts w:ascii="仿宋_GB2312" w:hAnsi="仿宋_GB2312" w:cs="宋体" w:hint="eastAsia"/>
          <w:color w:val="000000"/>
          <w:kern w:val="0"/>
          <w:sz w:val="24"/>
        </w:rPr>
        <w:t>11</w:t>
      </w:r>
      <w:r w:rsidR="00EB4540" w:rsidRPr="00EB4540">
        <w:rPr>
          <w:rFonts w:ascii="仿宋_GB2312" w:hAnsi="仿宋_GB2312" w:cs="宋体" w:hint="eastAsia"/>
          <w:color w:val="000000"/>
          <w:kern w:val="0"/>
          <w:sz w:val="24"/>
        </w:rPr>
        <w:t>部，合著</w:t>
      </w:r>
      <w:r w:rsidR="00EB4540" w:rsidRPr="00EB4540">
        <w:rPr>
          <w:rFonts w:ascii="仿宋_GB2312" w:hAnsi="仿宋_GB2312" w:cs="宋体" w:hint="eastAsia"/>
          <w:color w:val="000000"/>
          <w:kern w:val="0"/>
          <w:sz w:val="24"/>
        </w:rPr>
        <w:t>2</w:t>
      </w:r>
      <w:r w:rsidR="00EB4540" w:rsidRPr="00EB4540">
        <w:rPr>
          <w:rFonts w:ascii="仿宋_GB2312" w:hAnsi="仿宋_GB2312" w:cs="宋体" w:hint="eastAsia"/>
          <w:color w:val="000000"/>
          <w:kern w:val="0"/>
          <w:sz w:val="24"/>
        </w:rPr>
        <w:t>部，主持、参与翻译、总审校的译著</w:t>
      </w:r>
      <w:r w:rsidR="00EB4540" w:rsidRPr="00EB4540">
        <w:rPr>
          <w:rFonts w:ascii="仿宋_GB2312" w:hAnsi="仿宋_GB2312" w:cs="宋体" w:hint="eastAsia"/>
          <w:color w:val="000000"/>
          <w:kern w:val="0"/>
          <w:sz w:val="24"/>
        </w:rPr>
        <w:t>2</w:t>
      </w:r>
      <w:r w:rsidR="00EB4540" w:rsidRPr="00EB4540">
        <w:rPr>
          <w:rFonts w:ascii="仿宋_GB2312" w:hAnsi="仿宋_GB2312" w:cs="宋体" w:hint="eastAsia"/>
          <w:color w:val="000000"/>
          <w:kern w:val="0"/>
          <w:sz w:val="24"/>
        </w:rPr>
        <w:t>部，总主编、总校审的经典世界名著</w:t>
      </w:r>
      <w:r w:rsidR="00EB4540" w:rsidRPr="00EB4540">
        <w:rPr>
          <w:rFonts w:ascii="仿宋_GB2312" w:hAnsi="仿宋_GB2312" w:cs="宋体" w:hint="eastAsia"/>
          <w:color w:val="000000"/>
          <w:kern w:val="0"/>
          <w:sz w:val="24"/>
        </w:rPr>
        <w:t>10</w:t>
      </w:r>
      <w:r w:rsidR="00EB4540" w:rsidRPr="00EB4540">
        <w:rPr>
          <w:rFonts w:ascii="仿宋_GB2312" w:hAnsi="仿宋_GB2312" w:cs="宋体" w:hint="eastAsia"/>
          <w:color w:val="000000"/>
          <w:kern w:val="0"/>
          <w:sz w:val="24"/>
        </w:rPr>
        <w:t>部。曾在《中国社会科学》、《</w:t>
      </w:r>
      <w:r w:rsidR="00EB4540" w:rsidRPr="00EB4540">
        <w:rPr>
          <w:rFonts w:ascii="仿宋_GB2312" w:hAnsi="仿宋_GB2312" w:cs="宋体" w:hint="eastAsia"/>
          <w:color w:val="000000"/>
          <w:kern w:val="0"/>
          <w:sz w:val="24"/>
        </w:rPr>
        <w:t>Chinese Studies in History</w:t>
      </w:r>
      <w:r w:rsidR="00EB4540" w:rsidRPr="00EB4540">
        <w:rPr>
          <w:rFonts w:ascii="仿宋_GB2312" w:hAnsi="仿宋_GB2312" w:cs="宋体" w:hint="eastAsia"/>
          <w:color w:val="000000"/>
          <w:kern w:val="0"/>
          <w:sz w:val="24"/>
        </w:rPr>
        <w:t>》、《历史研究》、《世界历史》等中外学术期刊发表论文</w:t>
      </w:r>
      <w:r w:rsidR="00EB4540" w:rsidRPr="00EB4540">
        <w:rPr>
          <w:rFonts w:ascii="仿宋_GB2312" w:hAnsi="仿宋_GB2312" w:cs="宋体" w:hint="eastAsia"/>
          <w:color w:val="000000"/>
          <w:kern w:val="0"/>
          <w:sz w:val="24"/>
        </w:rPr>
        <w:t>200</w:t>
      </w:r>
      <w:r w:rsidR="00EB4540" w:rsidRPr="00EB4540">
        <w:rPr>
          <w:rFonts w:ascii="仿宋_GB2312" w:hAnsi="仿宋_GB2312" w:cs="宋体" w:hint="eastAsia"/>
          <w:color w:val="000000"/>
          <w:kern w:val="0"/>
          <w:sz w:val="24"/>
        </w:rPr>
        <w:t>余篇，其中多篇被美国权威索引杂志《历史文摘》、中国《新华文摘》和《中国人民大学报刊复印资料》收录。</w:t>
      </w:r>
    </w:p>
    <w:p w:rsidR="00EB4540" w:rsidRPr="00783A36" w:rsidRDefault="00760611" w:rsidP="00EB4540">
      <w:pPr>
        <w:autoSpaceDE w:val="0"/>
        <w:autoSpaceDN w:val="0"/>
        <w:adjustRightInd w:val="0"/>
        <w:spacing w:line="360" w:lineRule="auto"/>
        <w:ind w:firstLineChars="250" w:firstLine="602"/>
        <w:jc w:val="left"/>
        <w:rPr>
          <w:rFonts w:ascii="仿宋_GB2312" w:hAnsi="仿宋_GB2312" w:cs="宋体" w:hint="eastAsia"/>
          <w:color w:val="000000"/>
          <w:kern w:val="0"/>
          <w:sz w:val="24"/>
        </w:rPr>
      </w:pPr>
      <w:r>
        <w:rPr>
          <w:rFonts w:asciiTheme="minorEastAsia" w:eastAsiaTheme="minorEastAsia" w:hAnsiTheme="minorEastAsia" w:cs="宋体" w:hint="eastAsia"/>
          <w:b/>
          <w:bCs/>
          <w:color w:val="000000" w:themeColor="text1"/>
          <w:sz w:val="24"/>
          <w:szCs w:val="24"/>
        </w:rPr>
        <w:t xml:space="preserve">2. </w:t>
      </w:r>
      <w:r w:rsidR="00EB4540">
        <w:rPr>
          <w:rFonts w:asciiTheme="minorEastAsia" w:eastAsiaTheme="minorEastAsia" w:hAnsiTheme="minorEastAsia" w:cs="宋体" w:hint="eastAsia"/>
          <w:b/>
          <w:bCs/>
          <w:color w:val="000000" w:themeColor="text1"/>
          <w:sz w:val="24"/>
          <w:szCs w:val="24"/>
        </w:rPr>
        <w:t>罗薇</w:t>
      </w:r>
      <w:r>
        <w:rPr>
          <w:rFonts w:asciiTheme="minorEastAsia" w:eastAsiaTheme="minorEastAsia" w:hAnsiTheme="minorEastAsia" w:cs="宋体" w:hint="eastAsia"/>
          <w:b/>
          <w:bCs/>
          <w:color w:val="000000" w:themeColor="text1"/>
          <w:sz w:val="24"/>
          <w:szCs w:val="24"/>
        </w:rPr>
        <w:t>，</w:t>
      </w:r>
      <w:r w:rsidR="00EB4540" w:rsidRPr="00783A36">
        <w:rPr>
          <w:rFonts w:ascii="仿宋_GB2312" w:hAnsi="仿宋_GB2312" w:cs="宋体" w:hint="eastAsia"/>
          <w:color w:val="000000"/>
          <w:kern w:val="0"/>
          <w:sz w:val="24"/>
        </w:rPr>
        <w:t>清华大学艺术教育中心教师，中国传媒大学博士后，美国加州大学洛杉矶分校（</w:t>
      </w:r>
      <w:r w:rsidR="00EB4540" w:rsidRPr="00783A36">
        <w:rPr>
          <w:rFonts w:ascii="仿宋_GB2312" w:hAnsi="仿宋_GB2312" w:cs="宋体"/>
          <w:color w:val="000000"/>
          <w:kern w:val="0"/>
          <w:sz w:val="24"/>
        </w:rPr>
        <w:t>UCLA</w:t>
      </w:r>
      <w:r w:rsidR="00EB4540" w:rsidRPr="00783A36">
        <w:rPr>
          <w:rFonts w:ascii="仿宋_GB2312" w:hAnsi="仿宋_GB2312" w:cs="宋体" w:hint="eastAsia"/>
          <w:color w:val="000000"/>
          <w:kern w:val="0"/>
          <w:sz w:val="24"/>
        </w:rPr>
        <w:t>）和美国纽约大学（</w:t>
      </w:r>
      <w:r w:rsidR="00EB4540" w:rsidRPr="00783A36">
        <w:rPr>
          <w:rFonts w:ascii="仿宋_GB2312" w:hAnsi="仿宋_GB2312" w:cs="宋体"/>
          <w:color w:val="000000"/>
          <w:kern w:val="0"/>
          <w:sz w:val="24"/>
        </w:rPr>
        <w:t>NYU</w:t>
      </w:r>
      <w:r w:rsidR="00EB4540" w:rsidRPr="00783A36">
        <w:rPr>
          <w:rFonts w:ascii="仿宋_GB2312" w:hAnsi="仿宋_GB2312" w:cs="宋体" w:hint="eastAsia"/>
          <w:color w:val="000000"/>
          <w:kern w:val="0"/>
          <w:sz w:val="24"/>
        </w:rPr>
        <w:t>）的访问学者。教学工作隶属于“普通高等音乐教育”学科领域，主要体现为面向全校本科生开设音乐赏析类课程。面向综合性大学学生开展非专业领域的普通高等音乐教育是一项极具开拓性的教育工作。从国际高等教育领域中普遍认可的“通识教育”理念</w:t>
      </w:r>
      <w:r w:rsidR="00EB4540" w:rsidRPr="00783A36">
        <w:rPr>
          <w:rFonts w:ascii="仿宋_GB2312" w:hAnsi="仿宋_GB2312" w:cs="宋体"/>
          <w:color w:val="000000"/>
          <w:kern w:val="0"/>
          <w:sz w:val="24"/>
        </w:rPr>
        <w:t>(general education)</w:t>
      </w:r>
      <w:r w:rsidR="00EB4540" w:rsidRPr="00783A36">
        <w:rPr>
          <w:rFonts w:ascii="仿宋_GB2312" w:hAnsi="仿宋_GB2312" w:cs="宋体" w:hint="eastAsia"/>
          <w:color w:val="000000"/>
          <w:kern w:val="0"/>
          <w:sz w:val="24"/>
        </w:rPr>
        <w:t>出发，结合国际音乐教育界普遍倡导的“多元文化视野”</w:t>
      </w:r>
      <w:r w:rsidR="00EB4540" w:rsidRPr="00783A36">
        <w:rPr>
          <w:rFonts w:ascii="仿宋_GB2312" w:hAnsi="仿宋_GB2312" w:cs="宋体"/>
          <w:color w:val="000000"/>
          <w:kern w:val="0"/>
          <w:sz w:val="24"/>
        </w:rPr>
        <w:t>(multicultural perspective)</w:t>
      </w:r>
      <w:r w:rsidR="00EB4540" w:rsidRPr="00783A36">
        <w:rPr>
          <w:rFonts w:ascii="仿宋_GB2312" w:hAnsi="仿宋_GB2312" w:cs="宋体" w:hint="eastAsia"/>
          <w:color w:val="000000"/>
          <w:kern w:val="0"/>
          <w:sz w:val="24"/>
        </w:rPr>
        <w:t>，尝试开拓一种“文化融合”的音乐教育理念。其核心思想是“从文化了解音乐现象，从音乐透析文化内涵”，即将音乐作为一种特殊的文化现象放置于一个更加宏观的文化框架中予以阐释。其终极教育目标是“开拓文化视野，提升艺术品位，完善文化修养，培养有全面知识、广阔视野和完整人格的‘有教养’的社会公民”。从“文化融合”的音乐教育理念出发，实际课堂教学主要采用一种“三分法”的教学方法，即将</w:t>
      </w:r>
      <w:r w:rsidR="00EB4540" w:rsidRPr="00783A36">
        <w:rPr>
          <w:rFonts w:ascii="仿宋_GB2312" w:hAnsi="仿宋_GB2312" w:cs="宋体"/>
          <w:color w:val="000000"/>
          <w:kern w:val="0"/>
          <w:sz w:val="24"/>
        </w:rPr>
        <w:t>100</w:t>
      </w:r>
      <w:r w:rsidR="00EB4540" w:rsidRPr="00783A36">
        <w:rPr>
          <w:rFonts w:ascii="仿宋_GB2312" w:hAnsi="仿宋_GB2312" w:cs="宋体" w:hint="eastAsia"/>
          <w:color w:val="000000"/>
          <w:kern w:val="0"/>
          <w:sz w:val="24"/>
        </w:rPr>
        <w:t>分钟的课程内容划分为三大板块。“三</w:t>
      </w:r>
      <w:r w:rsidR="00EB4540" w:rsidRPr="00783A36">
        <w:rPr>
          <w:rFonts w:ascii="仿宋_GB2312" w:hAnsi="仿宋_GB2312" w:cs="宋体" w:hint="eastAsia"/>
          <w:color w:val="000000"/>
          <w:kern w:val="0"/>
          <w:sz w:val="24"/>
        </w:rPr>
        <w:lastRenderedPageBreak/>
        <w:t>分法”是一种贯穿古今、</w:t>
      </w:r>
      <w:proofErr w:type="gramStart"/>
      <w:r w:rsidR="00EB4540" w:rsidRPr="00783A36">
        <w:rPr>
          <w:rFonts w:ascii="仿宋_GB2312" w:hAnsi="仿宋_GB2312" w:cs="宋体" w:hint="eastAsia"/>
          <w:color w:val="000000"/>
          <w:kern w:val="0"/>
          <w:sz w:val="24"/>
        </w:rPr>
        <w:t>融汇贯通</w:t>
      </w:r>
      <w:proofErr w:type="gramEnd"/>
      <w:r w:rsidR="00EB4540" w:rsidRPr="00783A36">
        <w:rPr>
          <w:rFonts w:ascii="仿宋_GB2312" w:hAnsi="仿宋_GB2312" w:cs="宋体" w:hint="eastAsia"/>
          <w:color w:val="000000"/>
          <w:kern w:val="0"/>
          <w:sz w:val="24"/>
        </w:rPr>
        <w:t>的教学方法，课程板块涉及多个学科领域，内容上层层递进、相互关联，可以不断引发学生的探知欲与拓展性思考，激发当代大学生的想象力和创造力，培养其横向拓展、纵向发散的思维能力。目前已经完成了两本教材的撰写工作。</w:t>
      </w:r>
    </w:p>
    <w:p w:rsidR="00760611" w:rsidRPr="00D96DC5" w:rsidRDefault="00760611" w:rsidP="00EB4540">
      <w:pPr>
        <w:spacing w:line="360" w:lineRule="auto"/>
        <w:ind w:firstLineChars="200" w:firstLine="482"/>
        <w:rPr>
          <w:rFonts w:asciiTheme="minorEastAsia" w:eastAsiaTheme="minorEastAsia" w:hAnsiTheme="minorEastAsia"/>
          <w:color w:val="000000" w:themeColor="text1"/>
          <w:sz w:val="24"/>
          <w:szCs w:val="24"/>
        </w:rPr>
      </w:pPr>
      <w:r>
        <w:rPr>
          <w:rFonts w:asciiTheme="minorEastAsia" w:eastAsiaTheme="minorEastAsia" w:hAnsiTheme="minorEastAsia" w:cs="宋体" w:hint="eastAsia"/>
          <w:b/>
          <w:bCs/>
          <w:color w:val="000000" w:themeColor="text1"/>
          <w:sz w:val="24"/>
          <w:szCs w:val="24"/>
        </w:rPr>
        <w:t xml:space="preserve">3. </w:t>
      </w:r>
      <w:r w:rsidR="00EB4540">
        <w:rPr>
          <w:rFonts w:asciiTheme="minorEastAsia" w:eastAsiaTheme="minorEastAsia" w:hAnsiTheme="minorEastAsia" w:cs="宋体" w:hint="eastAsia"/>
          <w:b/>
          <w:bCs/>
          <w:color w:val="000000" w:themeColor="text1"/>
          <w:sz w:val="24"/>
          <w:szCs w:val="24"/>
        </w:rPr>
        <w:t>韩茂莉</w:t>
      </w:r>
      <w:r>
        <w:rPr>
          <w:rFonts w:asciiTheme="minorEastAsia" w:eastAsiaTheme="minorEastAsia" w:hAnsiTheme="minorEastAsia" w:cs="宋体" w:hint="eastAsia"/>
          <w:b/>
          <w:bCs/>
          <w:color w:val="000000" w:themeColor="text1"/>
          <w:sz w:val="24"/>
          <w:szCs w:val="24"/>
        </w:rPr>
        <w:t>，</w:t>
      </w:r>
      <w:r w:rsidR="00EB4540" w:rsidRPr="00EB4540">
        <w:rPr>
          <w:rFonts w:asciiTheme="minorEastAsia" w:eastAsiaTheme="minorEastAsia" w:hAnsiTheme="minorEastAsia" w:cs="宋体" w:hint="eastAsia"/>
          <w:bCs/>
          <w:color w:val="000000" w:themeColor="text1"/>
          <w:sz w:val="24"/>
          <w:szCs w:val="24"/>
        </w:rPr>
        <w:t>北京市教学名师，</w:t>
      </w:r>
      <w:r w:rsidR="00EB4540" w:rsidRPr="00A42120">
        <w:rPr>
          <w:rFonts w:ascii="宋体" w:hAnsi="宋体" w:cs="宋体" w:hint="eastAsia"/>
          <w:kern w:val="0"/>
          <w:sz w:val="24"/>
          <w:szCs w:val="24"/>
        </w:rPr>
        <w:t>北京大学城市与环境学院教授。主要研究中国历史地理，在历史农业地理、历史时期环境变迁以及历史乡村社会地理方面做出重要贡献，先后主持国家自然科学基金、国家社会科学基金项、教育部社会科学基金目十余项，出版《宋代农业地理》、《辽金农业地理》、《草原与田园——辽金时期西辽河流域农牧业与环境》、《中国历史农业地理》、《中国历史地理十五讲》等学术专著，并在《文史》、《地理学报》、《考古学报》、《近代史研究》、《中国史研究》等刊物发表学术论文近50篇。主讲课程“中国历史地理”被教育部评为国家级精品课，北京市名师，获教育部教学成果二等奖，优秀教材一等奖。</w:t>
      </w:r>
    </w:p>
    <w:p w:rsidR="00EB4540" w:rsidRDefault="00760611" w:rsidP="00EB4540">
      <w:pPr>
        <w:snapToGrid w:val="0"/>
        <w:spacing w:line="360" w:lineRule="auto"/>
        <w:ind w:firstLineChars="200" w:firstLine="482"/>
        <w:rPr>
          <w:rFonts w:ascii="仿宋_GB2312" w:hAnsi="仿宋_GB2312" w:cs="宋体" w:hint="eastAsia"/>
          <w:color w:val="000000"/>
          <w:kern w:val="0"/>
          <w:sz w:val="24"/>
        </w:rPr>
      </w:pPr>
      <w:r>
        <w:rPr>
          <w:rFonts w:asciiTheme="minorEastAsia" w:eastAsiaTheme="minorEastAsia" w:hAnsiTheme="minorEastAsia" w:cs="宋体" w:hint="eastAsia"/>
          <w:b/>
          <w:bCs/>
          <w:color w:val="000000" w:themeColor="text1"/>
          <w:sz w:val="24"/>
          <w:szCs w:val="24"/>
        </w:rPr>
        <w:t>4</w:t>
      </w:r>
      <w:r w:rsidR="0096105B" w:rsidRPr="00D96DC5">
        <w:rPr>
          <w:rFonts w:asciiTheme="minorEastAsia" w:eastAsiaTheme="minorEastAsia" w:hAnsiTheme="minorEastAsia" w:cs="宋体" w:hint="eastAsia"/>
          <w:b/>
          <w:bCs/>
          <w:color w:val="000000" w:themeColor="text1"/>
          <w:sz w:val="24"/>
          <w:szCs w:val="24"/>
        </w:rPr>
        <w:t>.</w:t>
      </w:r>
      <w:r w:rsidR="000B416C" w:rsidRPr="000B416C">
        <w:rPr>
          <w:rFonts w:ascii="仿宋_GB2312" w:hAnsi="仿宋_GB2312" w:cs="宋体"/>
          <w:color w:val="000000"/>
          <w:kern w:val="0"/>
          <w:sz w:val="24"/>
          <w:szCs w:val="24"/>
        </w:rPr>
        <w:t xml:space="preserve"> </w:t>
      </w:r>
      <w:r w:rsidR="00EB4540">
        <w:rPr>
          <w:rFonts w:ascii="仿宋_GB2312" w:hAnsi="仿宋_GB2312" w:cs="宋体" w:hint="eastAsia"/>
          <w:b/>
          <w:color w:val="000000"/>
          <w:kern w:val="0"/>
          <w:sz w:val="24"/>
          <w:szCs w:val="24"/>
        </w:rPr>
        <w:t>刘成璧</w:t>
      </w:r>
      <w:r w:rsidR="000B416C">
        <w:rPr>
          <w:rFonts w:ascii="仿宋_GB2312" w:hAnsi="仿宋_GB2312" w:cs="宋体"/>
          <w:color w:val="000000"/>
          <w:kern w:val="0"/>
          <w:sz w:val="24"/>
          <w:szCs w:val="24"/>
        </w:rPr>
        <w:t>，</w:t>
      </w:r>
      <w:r w:rsidR="00EB4540" w:rsidRPr="008C1A9B">
        <w:rPr>
          <w:rFonts w:ascii="仿宋_GB2312" w:hAnsi="仿宋_GB2312" w:cs="宋体" w:hint="eastAsia"/>
          <w:color w:val="000000"/>
          <w:kern w:val="0"/>
          <w:sz w:val="24"/>
        </w:rPr>
        <w:t>北京市教学名师，北京工商大学经济学院教授，北京工商大学教学督导专家、北京工业大学</w:t>
      </w:r>
      <w:r w:rsidR="00EB4540">
        <w:rPr>
          <w:rFonts w:ascii="仿宋_GB2312" w:hAnsi="仿宋_GB2312" w:cs="宋体" w:hint="eastAsia"/>
          <w:color w:val="000000"/>
          <w:kern w:val="0"/>
          <w:sz w:val="24"/>
        </w:rPr>
        <w:t>和北京联合大学</w:t>
      </w:r>
      <w:r w:rsidR="00EB4540" w:rsidRPr="008C1A9B">
        <w:rPr>
          <w:rFonts w:ascii="仿宋_GB2312" w:hAnsi="仿宋_GB2312" w:cs="宋体" w:hint="eastAsia"/>
          <w:color w:val="000000"/>
          <w:kern w:val="0"/>
          <w:sz w:val="24"/>
        </w:rPr>
        <w:t>特聘教学指导专家。</w:t>
      </w:r>
      <w:r w:rsidR="00EB4540" w:rsidRPr="00407A88">
        <w:rPr>
          <w:rFonts w:ascii="仿宋_GB2312" w:hAnsi="仿宋_GB2312" w:cs="宋体" w:hint="eastAsia"/>
          <w:color w:val="000000"/>
          <w:kern w:val="0"/>
          <w:sz w:val="24"/>
        </w:rPr>
        <w:t>入选全国</w:t>
      </w:r>
      <w:proofErr w:type="gramStart"/>
      <w:r w:rsidR="00EB4540" w:rsidRPr="00407A88">
        <w:rPr>
          <w:rFonts w:ascii="仿宋_GB2312" w:hAnsi="仿宋_GB2312" w:cs="宋体" w:hint="eastAsia"/>
          <w:color w:val="000000"/>
          <w:kern w:val="0"/>
          <w:sz w:val="24"/>
        </w:rPr>
        <w:t>评师网</w:t>
      </w:r>
      <w:proofErr w:type="gramEnd"/>
      <w:r w:rsidR="00EB4540" w:rsidRPr="00407A88">
        <w:rPr>
          <w:rFonts w:ascii="仿宋_GB2312" w:hAnsi="仿宋_GB2312" w:cs="宋体" w:hint="eastAsia"/>
          <w:color w:val="000000"/>
          <w:kern w:val="0"/>
          <w:sz w:val="24"/>
        </w:rPr>
        <w:t>"2009</w:t>
      </w:r>
      <w:r w:rsidR="00EB4540" w:rsidRPr="00407A88">
        <w:rPr>
          <w:rFonts w:ascii="仿宋_GB2312" w:hAnsi="仿宋_GB2312" w:cs="宋体" w:hint="eastAsia"/>
          <w:color w:val="000000"/>
          <w:kern w:val="0"/>
          <w:sz w:val="24"/>
        </w:rPr>
        <w:t>年经济及管理专业最受欢迎十大教授</w:t>
      </w:r>
      <w:r w:rsidR="00EB4540" w:rsidRPr="00407A88">
        <w:rPr>
          <w:rFonts w:ascii="仿宋_GB2312" w:hAnsi="仿宋_GB2312" w:cs="宋体" w:hint="eastAsia"/>
          <w:color w:val="000000"/>
          <w:kern w:val="0"/>
          <w:sz w:val="24"/>
        </w:rPr>
        <w:t>(</w:t>
      </w:r>
      <w:r w:rsidR="00EB4540" w:rsidRPr="00407A88">
        <w:rPr>
          <w:rFonts w:ascii="仿宋_GB2312" w:hAnsi="仿宋_GB2312" w:cs="宋体" w:hint="eastAsia"/>
          <w:color w:val="000000"/>
          <w:kern w:val="0"/>
          <w:sz w:val="24"/>
        </w:rPr>
        <w:t>非</w:t>
      </w:r>
      <w:r w:rsidR="00EB4540" w:rsidRPr="00407A88">
        <w:rPr>
          <w:rFonts w:ascii="仿宋_GB2312" w:hAnsi="仿宋_GB2312" w:cs="宋体" w:hint="eastAsia"/>
          <w:color w:val="000000"/>
          <w:kern w:val="0"/>
          <w:sz w:val="24"/>
        </w:rPr>
        <w:t>211</w:t>
      </w:r>
      <w:r w:rsidR="00EB4540" w:rsidRPr="00407A88">
        <w:rPr>
          <w:rFonts w:ascii="仿宋_GB2312" w:hAnsi="仿宋_GB2312" w:cs="宋体" w:hint="eastAsia"/>
          <w:color w:val="000000"/>
          <w:kern w:val="0"/>
          <w:sz w:val="24"/>
        </w:rPr>
        <w:t>院校类</w:t>
      </w:r>
      <w:r w:rsidR="00EB4540" w:rsidRPr="00407A88">
        <w:rPr>
          <w:rFonts w:ascii="仿宋_GB2312" w:hAnsi="仿宋_GB2312" w:cs="宋体" w:hint="eastAsia"/>
          <w:color w:val="000000"/>
          <w:kern w:val="0"/>
          <w:sz w:val="24"/>
        </w:rPr>
        <w:t>)"</w:t>
      </w:r>
      <w:r w:rsidR="00EB4540">
        <w:rPr>
          <w:rFonts w:ascii="仿宋_GB2312" w:hAnsi="仿宋_GB2312" w:cs="宋体" w:hint="eastAsia"/>
          <w:color w:val="000000"/>
          <w:kern w:val="0"/>
          <w:sz w:val="24"/>
        </w:rPr>
        <w:t>。曾获</w:t>
      </w:r>
      <w:r w:rsidR="00EB4540" w:rsidRPr="00407A88">
        <w:rPr>
          <w:rFonts w:ascii="仿宋_GB2312" w:hAnsi="仿宋_GB2312" w:cs="宋体" w:hint="eastAsia"/>
          <w:color w:val="000000"/>
          <w:kern w:val="0"/>
          <w:sz w:val="24"/>
        </w:rPr>
        <w:t>北京市及北京工商大学</w:t>
      </w:r>
      <w:r w:rsidR="00EB4540">
        <w:rPr>
          <w:rFonts w:ascii="仿宋_GB2312" w:hAnsi="仿宋_GB2312" w:cs="宋体" w:hint="eastAsia"/>
          <w:color w:val="000000"/>
          <w:kern w:val="0"/>
          <w:sz w:val="24"/>
        </w:rPr>
        <w:t>教学及研究方面的多类项</w:t>
      </w:r>
      <w:r w:rsidR="00EB4540" w:rsidRPr="00407A88">
        <w:rPr>
          <w:rFonts w:ascii="仿宋_GB2312" w:hAnsi="仿宋_GB2312" w:cs="宋体" w:hint="eastAsia"/>
          <w:color w:val="000000"/>
          <w:kern w:val="0"/>
          <w:sz w:val="24"/>
        </w:rPr>
        <w:t>奖</w:t>
      </w:r>
      <w:r w:rsidR="00EB4540">
        <w:rPr>
          <w:rFonts w:ascii="仿宋_GB2312" w:hAnsi="仿宋_GB2312" w:cs="宋体" w:hint="eastAsia"/>
          <w:color w:val="000000"/>
          <w:kern w:val="0"/>
          <w:sz w:val="24"/>
        </w:rPr>
        <w:t>。先后讲授</w:t>
      </w:r>
      <w:r w:rsidR="00EB4540" w:rsidRPr="00407A88">
        <w:rPr>
          <w:rFonts w:ascii="仿宋_GB2312" w:hAnsi="仿宋_GB2312" w:cs="宋体" w:hint="eastAsia"/>
          <w:color w:val="000000"/>
          <w:kern w:val="0"/>
          <w:sz w:val="24"/>
        </w:rPr>
        <w:t>《政治经济学》、《合作经济概论》、《微观经济学》、《宏观经济学》和《创业实践》等课程。</w:t>
      </w:r>
      <w:r w:rsidR="00EB4540">
        <w:rPr>
          <w:rFonts w:ascii="仿宋_GB2312" w:hAnsi="仿宋_GB2312" w:cs="宋体" w:hint="eastAsia"/>
          <w:color w:val="000000"/>
          <w:kern w:val="0"/>
          <w:sz w:val="24"/>
        </w:rPr>
        <w:t>在职期间的主要科研成果。</w:t>
      </w:r>
      <w:r w:rsidR="00EB4540" w:rsidRPr="008C1A9B">
        <w:rPr>
          <w:rFonts w:ascii="仿宋_GB2312" w:hAnsi="仿宋_GB2312" w:cs="宋体" w:hint="eastAsia"/>
          <w:color w:val="000000"/>
          <w:kern w:val="0"/>
          <w:sz w:val="24"/>
        </w:rPr>
        <w:t>专著</w:t>
      </w:r>
      <w:r w:rsidR="00EB4540">
        <w:rPr>
          <w:rFonts w:ascii="仿宋_GB2312" w:hAnsi="仿宋_GB2312" w:cs="宋体" w:hint="eastAsia"/>
          <w:color w:val="000000"/>
          <w:kern w:val="0"/>
          <w:sz w:val="24"/>
        </w:rPr>
        <w:t>《创业实践》、《创业经济学》，</w:t>
      </w:r>
      <w:r w:rsidR="00EB4540" w:rsidRPr="008C1A9B">
        <w:rPr>
          <w:rFonts w:ascii="仿宋_GB2312" w:hAnsi="仿宋_GB2312" w:cs="宋体" w:hint="eastAsia"/>
          <w:color w:val="000000"/>
          <w:kern w:val="0"/>
          <w:sz w:val="24"/>
        </w:rPr>
        <w:t>参</w:t>
      </w:r>
      <w:r w:rsidR="00EB4540">
        <w:rPr>
          <w:rFonts w:ascii="仿宋_GB2312" w:hAnsi="仿宋_GB2312" w:cs="宋体" w:hint="eastAsia"/>
          <w:color w:val="000000"/>
          <w:kern w:val="0"/>
          <w:sz w:val="24"/>
        </w:rPr>
        <w:t>编《合作经济学》《经纪人概论》</w:t>
      </w:r>
      <w:r w:rsidR="00EB4540" w:rsidRPr="008C1A9B">
        <w:rPr>
          <w:rFonts w:ascii="仿宋_GB2312" w:hAnsi="仿宋_GB2312" w:cs="宋体" w:hint="eastAsia"/>
          <w:color w:val="000000"/>
          <w:kern w:val="0"/>
          <w:sz w:val="24"/>
        </w:rPr>
        <w:t>；发表科研论文数十篇，其中</w:t>
      </w:r>
      <w:r w:rsidR="00EB4540" w:rsidRPr="008C1A9B">
        <w:rPr>
          <w:rFonts w:ascii="仿宋_GB2312" w:hAnsi="仿宋_GB2312" w:cs="宋体"/>
          <w:color w:val="000000"/>
          <w:kern w:val="0"/>
          <w:sz w:val="24"/>
        </w:rPr>
        <w:t>10</w:t>
      </w:r>
      <w:r w:rsidR="00EB4540" w:rsidRPr="008C1A9B">
        <w:rPr>
          <w:rFonts w:ascii="仿宋_GB2312" w:hAnsi="仿宋_GB2312" w:cs="宋体" w:hint="eastAsia"/>
          <w:color w:val="000000"/>
          <w:kern w:val="0"/>
          <w:sz w:val="24"/>
        </w:rPr>
        <w:t>余篇分别刊登在《宏观经济研究》、《统计与决策》、《中国改革》、《管理现代化》、《经济日报》（理论版）等核心刊物上。</w:t>
      </w:r>
      <w:r w:rsidR="00EB4540" w:rsidRPr="008C1A9B">
        <w:rPr>
          <w:rFonts w:ascii="仿宋_GB2312" w:hAnsi="仿宋_GB2312" w:cs="宋体"/>
          <w:color w:val="000000"/>
          <w:kern w:val="0"/>
          <w:sz w:val="24"/>
        </w:rPr>
        <w:t>7</w:t>
      </w:r>
      <w:r w:rsidR="00EB4540">
        <w:rPr>
          <w:rFonts w:ascii="仿宋_GB2312" w:hAnsi="仿宋_GB2312" w:cs="宋体" w:hint="eastAsia"/>
          <w:color w:val="000000"/>
          <w:kern w:val="0"/>
          <w:sz w:val="24"/>
        </w:rPr>
        <w:t>篇被《人大复印报刊资料》收录，</w:t>
      </w:r>
      <w:r w:rsidR="00EB4540" w:rsidRPr="008C1A9B">
        <w:rPr>
          <w:rFonts w:ascii="仿宋_GB2312" w:hAnsi="仿宋_GB2312" w:cs="宋体"/>
          <w:color w:val="000000"/>
          <w:kern w:val="0"/>
          <w:sz w:val="24"/>
        </w:rPr>
        <w:t>5</w:t>
      </w:r>
      <w:r w:rsidR="00EB4540">
        <w:rPr>
          <w:rFonts w:ascii="仿宋_GB2312" w:hAnsi="仿宋_GB2312" w:cs="宋体" w:hint="eastAsia"/>
          <w:color w:val="000000"/>
          <w:kern w:val="0"/>
          <w:sz w:val="24"/>
        </w:rPr>
        <w:t>篇</w:t>
      </w:r>
      <w:r w:rsidR="00EB4540" w:rsidRPr="008C1A9B">
        <w:rPr>
          <w:rFonts w:ascii="仿宋_GB2312" w:hAnsi="仿宋_GB2312" w:cs="宋体" w:hint="eastAsia"/>
          <w:color w:val="000000"/>
          <w:kern w:val="0"/>
          <w:sz w:val="24"/>
        </w:rPr>
        <w:t>被</w:t>
      </w:r>
      <w:r w:rsidR="00EB4540" w:rsidRPr="008C1A9B">
        <w:rPr>
          <w:rFonts w:ascii="仿宋_GB2312" w:hAnsi="仿宋_GB2312" w:cs="宋体"/>
          <w:color w:val="000000"/>
          <w:kern w:val="0"/>
          <w:sz w:val="24"/>
        </w:rPr>
        <w:t>CSSCI</w:t>
      </w:r>
      <w:r w:rsidR="00EB4540" w:rsidRPr="008C1A9B">
        <w:rPr>
          <w:rFonts w:ascii="仿宋_GB2312" w:hAnsi="仿宋_GB2312" w:cs="宋体" w:hint="eastAsia"/>
          <w:color w:val="000000"/>
          <w:kern w:val="0"/>
          <w:sz w:val="24"/>
        </w:rPr>
        <w:t>收录；主持国际合作研究课题</w:t>
      </w:r>
      <w:r w:rsidR="00EB4540">
        <w:rPr>
          <w:rFonts w:ascii="仿宋_GB2312" w:hAnsi="仿宋_GB2312" w:cs="宋体" w:hint="eastAsia"/>
          <w:color w:val="000000"/>
          <w:kern w:val="0"/>
          <w:sz w:val="24"/>
        </w:rPr>
        <w:t>1</w:t>
      </w:r>
      <w:r w:rsidR="00EB4540">
        <w:rPr>
          <w:rFonts w:ascii="仿宋_GB2312" w:hAnsi="仿宋_GB2312" w:cs="宋体" w:hint="eastAsia"/>
          <w:color w:val="000000"/>
          <w:kern w:val="0"/>
          <w:sz w:val="24"/>
        </w:rPr>
        <w:t>项</w:t>
      </w:r>
      <w:r w:rsidR="00EB4540" w:rsidRPr="008C1A9B">
        <w:rPr>
          <w:rFonts w:ascii="仿宋_GB2312" w:hAnsi="仿宋_GB2312" w:cs="宋体" w:hint="eastAsia"/>
          <w:color w:val="000000"/>
          <w:kern w:val="0"/>
          <w:sz w:val="24"/>
        </w:rPr>
        <w:t>，参与完成国家级课题</w:t>
      </w:r>
      <w:r w:rsidR="00EB4540">
        <w:rPr>
          <w:rFonts w:ascii="仿宋_GB2312" w:hAnsi="仿宋_GB2312" w:cs="宋体" w:hint="eastAsia"/>
          <w:color w:val="000000"/>
          <w:kern w:val="0"/>
          <w:sz w:val="24"/>
        </w:rPr>
        <w:t>1</w:t>
      </w:r>
      <w:r w:rsidR="00EB4540">
        <w:rPr>
          <w:rFonts w:ascii="仿宋_GB2312" w:hAnsi="仿宋_GB2312" w:cs="宋体" w:hint="eastAsia"/>
          <w:color w:val="000000"/>
          <w:kern w:val="0"/>
          <w:sz w:val="24"/>
        </w:rPr>
        <w:t>项</w:t>
      </w:r>
      <w:r w:rsidR="00EB4540" w:rsidRPr="008C1A9B">
        <w:rPr>
          <w:rFonts w:ascii="仿宋_GB2312" w:hAnsi="仿宋_GB2312" w:cs="宋体" w:hint="eastAsia"/>
          <w:color w:val="000000"/>
          <w:kern w:val="0"/>
          <w:sz w:val="24"/>
        </w:rPr>
        <w:t>，主持北京市教改</w:t>
      </w:r>
      <w:proofErr w:type="gramStart"/>
      <w:r w:rsidR="00EB4540" w:rsidRPr="008C1A9B">
        <w:rPr>
          <w:rFonts w:ascii="仿宋_GB2312" w:hAnsi="仿宋_GB2312" w:cs="宋体" w:hint="eastAsia"/>
          <w:color w:val="000000"/>
          <w:kern w:val="0"/>
          <w:sz w:val="24"/>
        </w:rPr>
        <w:t>课题</w:t>
      </w:r>
      <w:r w:rsidR="00EB4540">
        <w:rPr>
          <w:rFonts w:ascii="仿宋_GB2312" w:hAnsi="仿宋_GB2312" w:cs="宋体" w:hint="eastAsia"/>
          <w:color w:val="000000"/>
          <w:kern w:val="0"/>
          <w:sz w:val="24"/>
        </w:rPr>
        <w:t>级</w:t>
      </w:r>
      <w:proofErr w:type="gramEnd"/>
      <w:r w:rsidR="00EB4540" w:rsidRPr="008C1A9B">
        <w:rPr>
          <w:rFonts w:ascii="仿宋_GB2312" w:hAnsi="仿宋_GB2312" w:cs="宋体" w:hint="eastAsia"/>
          <w:color w:val="000000"/>
          <w:kern w:val="0"/>
          <w:sz w:val="24"/>
        </w:rPr>
        <w:t>企业委托研究课题</w:t>
      </w:r>
      <w:r w:rsidR="00EB4540">
        <w:rPr>
          <w:rFonts w:ascii="仿宋_GB2312" w:hAnsi="仿宋_GB2312" w:cs="宋体" w:hint="eastAsia"/>
          <w:color w:val="000000"/>
          <w:kern w:val="0"/>
          <w:sz w:val="24"/>
        </w:rPr>
        <w:t>8</w:t>
      </w:r>
      <w:r w:rsidR="00EB4540">
        <w:rPr>
          <w:rFonts w:ascii="仿宋_GB2312" w:hAnsi="仿宋_GB2312" w:cs="宋体" w:hint="eastAsia"/>
          <w:color w:val="000000"/>
          <w:kern w:val="0"/>
          <w:sz w:val="24"/>
        </w:rPr>
        <w:t>项</w:t>
      </w:r>
      <w:r w:rsidR="00EB4540" w:rsidRPr="008C1A9B">
        <w:rPr>
          <w:rFonts w:ascii="仿宋_GB2312" w:hAnsi="仿宋_GB2312" w:cs="宋体" w:hint="eastAsia"/>
          <w:color w:val="000000"/>
          <w:kern w:val="0"/>
          <w:sz w:val="24"/>
        </w:rPr>
        <w:t>。</w:t>
      </w:r>
      <w:r w:rsidR="00EB4540" w:rsidRPr="00407A88">
        <w:rPr>
          <w:rFonts w:ascii="仿宋_GB2312" w:hAnsi="仿宋_GB2312" w:cs="宋体" w:hint="eastAsia"/>
          <w:color w:val="000000"/>
          <w:kern w:val="0"/>
          <w:sz w:val="24"/>
        </w:rPr>
        <w:t>2011</w:t>
      </w:r>
      <w:r w:rsidR="00EB4540" w:rsidRPr="00407A88">
        <w:rPr>
          <w:rFonts w:ascii="仿宋_GB2312" w:hAnsi="仿宋_GB2312" w:cs="宋体" w:hint="eastAsia"/>
          <w:color w:val="000000"/>
          <w:kern w:val="0"/>
          <w:sz w:val="24"/>
        </w:rPr>
        <w:t>年</w:t>
      </w:r>
      <w:r w:rsidR="00EB4540">
        <w:rPr>
          <w:rFonts w:ascii="仿宋_GB2312" w:hAnsi="仿宋_GB2312" w:cs="宋体" w:hint="eastAsia"/>
          <w:color w:val="000000"/>
          <w:kern w:val="0"/>
          <w:sz w:val="24"/>
        </w:rPr>
        <w:t>退休后，</w:t>
      </w:r>
      <w:r w:rsidR="00EB4540" w:rsidRPr="00407A88">
        <w:rPr>
          <w:rFonts w:ascii="仿宋_GB2312" w:hAnsi="仿宋_GB2312" w:cs="宋体" w:hint="eastAsia"/>
          <w:color w:val="000000"/>
          <w:kern w:val="0"/>
          <w:sz w:val="24"/>
        </w:rPr>
        <w:t>被北京工业大学和北京联合大学聘请为</w:t>
      </w:r>
      <w:r w:rsidR="00EB4540" w:rsidRPr="00407A88">
        <w:rPr>
          <w:rFonts w:ascii="仿宋_GB2312" w:hAnsi="仿宋_GB2312" w:cs="宋体" w:hint="eastAsia"/>
          <w:color w:val="000000"/>
          <w:kern w:val="0"/>
          <w:sz w:val="24"/>
        </w:rPr>
        <w:t>"</w:t>
      </w:r>
      <w:r w:rsidR="00EB4540" w:rsidRPr="00407A88">
        <w:rPr>
          <w:rFonts w:ascii="仿宋_GB2312" w:hAnsi="仿宋_GB2312" w:cs="宋体" w:hint="eastAsia"/>
          <w:color w:val="000000"/>
          <w:kern w:val="0"/>
          <w:sz w:val="24"/>
        </w:rPr>
        <w:t>北京市高校校外教学名师讲学计划</w:t>
      </w:r>
      <w:r w:rsidR="00EB4540" w:rsidRPr="00407A88">
        <w:rPr>
          <w:rFonts w:ascii="仿宋_GB2312" w:hAnsi="仿宋_GB2312" w:cs="宋体" w:hint="eastAsia"/>
          <w:color w:val="000000"/>
          <w:kern w:val="0"/>
          <w:sz w:val="24"/>
        </w:rPr>
        <w:t>"</w:t>
      </w:r>
      <w:r w:rsidR="00EB4540">
        <w:rPr>
          <w:rFonts w:ascii="仿宋_GB2312" w:hAnsi="仿宋_GB2312" w:cs="宋体" w:hint="eastAsia"/>
          <w:color w:val="000000"/>
          <w:kern w:val="0"/>
          <w:sz w:val="24"/>
        </w:rPr>
        <w:t>中</w:t>
      </w:r>
      <w:r w:rsidR="00EB4540" w:rsidRPr="00407A88">
        <w:rPr>
          <w:rFonts w:ascii="仿宋_GB2312" w:hAnsi="仿宋_GB2312" w:cs="宋体" w:hint="eastAsia"/>
          <w:color w:val="000000"/>
          <w:kern w:val="0"/>
          <w:sz w:val="24"/>
        </w:rPr>
        <w:t>的教学名师，主讲《微观经济学》和《宏观经济学》课程。</w:t>
      </w:r>
      <w:r w:rsidR="00EB4540">
        <w:rPr>
          <w:rFonts w:ascii="仿宋_GB2312" w:hAnsi="仿宋_GB2312" w:cs="宋体" w:hint="eastAsia"/>
          <w:color w:val="000000"/>
          <w:kern w:val="0"/>
          <w:sz w:val="24"/>
        </w:rPr>
        <w:t>近年来，指导青年教师在各种比赛中</w:t>
      </w:r>
      <w:r w:rsidR="00EB4540" w:rsidRPr="00E314EB">
        <w:rPr>
          <w:rFonts w:ascii="仿宋_GB2312" w:hAnsi="仿宋_GB2312" w:cs="宋体" w:hint="eastAsia"/>
          <w:color w:val="000000"/>
          <w:kern w:val="0"/>
          <w:sz w:val="24"/>
        </w:rPr>
        <w:t>获</w:t>
      </w:r>
      <w:r w:rsidR="00EB4540">
        <w:rPr>
          <w:rFonts w:ascii="仿宋_GB2312" w:hAnsi="仿宋_GB2312" w:cs="宋体" w:hint="eastAsia"/>
          <w:color w:val="000000"/>
          <w:kern w:val="0"/>
          <w:sz w:val="24"/>
        </w:rPr>
        <w:t>得佳绩，其中</w:t>
      </w:r>
      <w:r w:rsidR="00EB4540" w:rsidRPr="00E314EB">
        <w:rPr>
          <w:rFonts w:ascii="仿宋_GB2312" w:hAnsi="仿宋_GB2312" w:cs="宋体" w:hint="eastAsia"/>
          <w:color w:val="000000"/>
          <w:kern w:val="0"/>
          <w:sz w:val="24"/>
        </w:rPr>
        <w:t>2</w:t>
      </w:r>
      <w:r w:rsidR="00EB4540" w:rsidRPr="00E314EB">
        <w:rPr>
          <w:rFonts w:ascii="仿宋_GB2312" w:hAnsi="仿宋_GB2312" w:cs="宋体" w:hint="eastAsia"/>
          <w:color w:val="000000"/>
          <w:kern w:val="0"/>
          <w:sz w:val="24"/>
        </w:rPr>
        <w:t>位获北京市青年教师基本功大赛一等奖；</w:t>
      </w:r>
      <w:r w:rsidR="00EB4540">
        <w:rPr>
          <w:rFonts w:ascii="仿宋_GB2312" w:hAnsi="仿宋_GB2312" w:cs="宋体" w:hint="eastAsia"/>
          <w:color w:val="000000"/>
          <w:kern w:val="0"/>
          <w:sz w:val="24"/>
        </w:rPr>
        <w:t>6</w:t>
      </w:r>
      <w:r w:rsidR="00EB4540" w:rsidRPr="00E314EB">
        <w:rPr>
          <w:rFonts w:ascii="仿宋_GB2312" w:hAnsi="仿宋_GB2312" w:cs="宋体" w:hint="eastAsia"/>
          <w:color w:val="000000"/>
          <w:kern w:val="0"/>
          <w:sz w:val="24"/>
        </w:rPr>
        <w:t>位获得校级优秀教师教学演示一等奖。</w:t>
      </w:r>
    </w:p>
    <w:p w:rsidR="00BF4A88" w:rsidRPr="00BF4A88" w:rsidRDefault="00760611" w:rsidP="00BF4A88">
      <w:pPr>
        <w:spacing w:line="360" w:lineRule="auto"/>
        <w:ind w:firstLineChars="150" w:firstLine="361"/>
        <w:rPr>
          <w:rFonts w:ascii="仿宋_GB2312" w:hAnsi="仿宋_GB2312" w:cs="宋体"/>
          <w:color w:val="000000"/>
          <w:kern w:val="0"/>
          <w:sz w:val="24"/>
        </w:rPr>
      </w:pPr>
      <w:bookmarkStart w:id="0" w:name="_GoBack"/>
      <w:bookmarkEnd w:id="0"/>
      <w:r>
        <w:rPr>
          <w:rFonts w:asciiTheme="minorEastAsia" w:eastAsiaTheme="minorEastAsia" w:hAnsiTheme="minorEastAsia" w:hint="eastAsia"/>
          <w:b/>
          <w:color w:val="000000" w:themeColor="text1"/>
          <w:sz w:val="24"/>
          <w:szCs w:val="24"/>
        </w:rPr>
        <w:t>5</w:t>
      </w:r>
      <w:r w:rsidR="007E2CC9" w:rsidRPr="000B416C">
        <w:rPr>
          <w:rFonts w:asciiTheme="minorEastAsia" w:eastAsiaTheme="minorEastAsia" w:hAnsiTheme="minorEastAsia" w:hint="eastAsia"/>
          <w:b/>
          <w:color w:val="000000" w:themeColor="text1"/>
          <w:sz w:val="24"/>
          <w:szCs w:val="24"/>
        </w:rPr>
        <w:t>.</w:t>
      </w:r>
      <w:r>
        <w:rPr>
          <w:rFonts w:asciiTheme="minorEastAsia" w:eastAsiaTheme="minorEastAsia" w:hAnsiTheme="minorEastAsia" w:hint="eastAsia"/>
          <w:b/>
          <w:color w:val="000000" w:themeColor="text1"/>
          <w:sz w:val="24"/>
          <w:szCs w:val="24"/>
        </w:rPr>
        <w:t xml:space="preserve"> </w:t>
      </w:r>
      <w:r w:rsidR="00EB4540">
        <w:rPr>
          <w:rFonts w:asciiTheme="minorEastAsia" w:eastAsiaTheme="minorEastAsia" w:hAnsiTheme="minorEastAsia" w:hint="eastAsia"/>
          <w:b/>
          <w:color w:val="000000" w:themeColor="text1"/>
          <w:sz w:val="24"/>
          <w:szCs w:val="24"/>
        </w:rPr>
        <w:t>孟宪实</w:t>
      </w:r>
      <w:r w:rsidR="000B416C" w:rsidRPr="000B416C">
        <w:rPr>
          <w:rFonts w:asciiTheme="minorEastAsia" w:eastAsiaTheme="minorEastAsia" w:hAnsiTheme="minorEastAsia"/>
          <w:b/>
          <w:color w:val="000000" w:themeColor="text1"/>
          <w:sz w:val="24"/>
          <w:szCs w:val="24"/>
        </w:rPr>
        <w:t>，</w:t>
      </w:r>
      <w:r w:rsidR="00BF4A88" w:rsidRPr="00BF4A88">
        <w:rPr>
          <w:rFonts w:ascii="仿宋_GB2312" w:hAnsi="仿宋_GB2312" w:cs="宋体" w:hint="eastAsia"/>
          <w:color w:val="000000"/>
          <w:kern w:val="0"/>
          <w:sz w:val="24"/>
        </w:rPr>
        <w:t>中国人民大学国学院教授，博士生导师，专业方向为隋唐历史、敦煌吐鲁番学。出版《汉唐文化与高昌历史》、《敦煌民间结社研究》等专著。在《历史研究》、《北京大学学报》等杂志上发表学术论文百余篇。</w:t>
      </w:r>
      <w:r w:rsidR="00BF4A88" w:rsidRPr="00BF4A88">
        <w:rPr>
          <w:rFonts w:ascii="仿宋_GB2312" w:hAnsi="仿宋_GB2312" w:cs="宋体" w:hint="eastAsia"/>
          <w:color w:val="000000"/>
          <w:kern w:val="0"/>
          <w:sz w:val="24"/>
        </w:rPr>
        <w:t>2006</w:t>
      </w:r>
      <w:r w:rsidR="00BF4A88" w:rsidRPr="00BF4A88">
        <w:rPr>
          <w:rFonts w:ascii="仿宋_GB2312" w:hAnsi="仿宋_GB2312" w:cs="宋体" w:hint="eastAsia"/>
          <w:color w:val="000000"/>
          <w:kern w:val="0"/>
          <w:sz w:val="24"/>
        </w:rPr>
        <w:t>年起，</w:t>
      </w:r>
      <w:r w:rsidR="00BF4A88" w:rsidRPr="00BF4A88">
        <w:rPr>
          <w:rFonts w:ascii="仿宋_GB2312" w:hAnsi="仿宋_GB2312" w:cs="宋体" w:hint="eastAsia"/>
          <w:color w:val="000000"/>
          <w:kern w:val="0"/>
          <w:sz w:val="24"/>
        </w:rPr>
        <w:lastRenderedPageBreak/>
        <w:t>在中央台百家讲坛栏目主讲《玄武门之变》、《贞观之治》和《唐高宗的真相》等课程，曾与阿城一起编剧大型电视连续剧《贞观之治》</w:t>
      </w:r>
      <w:r w:rsidR="00BF4A88">
        <w:rPr>
          <w:rFonts w:ascii="仿宋_GB2312" w:hAnsi="仿宋_GB2312" w:cs="宋体" w:hint="eastAsia"/>
          <w:color w:val="000000"/>
          <w:kern w:val="0"/>
          <w:sz w:val="24"/>
        </w:rPr>
        <w:t>。</w:t>
      </w:r>
    </w:p>
    <w:p w:rsidR="00760611" w:rsidRPr="00BF4A88" w:rsidRDefault="00760611" w:rsidP="00EB4540">
      <w:pPr>
        <w:widowControl/>
        <w:spacing w:line="360" w:lineRule="auto"/>
        <w:ind w:firstLine="425"/>
        <w:jc w:val="left"/>
        <w:rPr>
          <w:rFonts w:asciiTheme="minorEastAsia" w:eastAsiaTheme="minorEastAsia" w:hAnsiTheme="minorEastAsia"/>
          <w:color w:val="000000" w:themeColor="text1"/>
          <w:sz w:val="24"/>
          <w:szCs w:val="24"/>
        </w:rPr>
      </w:pPr>
    </w:p>
    <w:p w:rsidR="00922A16" w:rsidRPr="00760611" w:rsidRDefault="004A2D17" w:rsidP="00760611">
      <w:pPr>
        <w:spacing w:line="360" w:lineRule="auto"/>
        <w:rPr>
          <w:rFonts w:asciiTheme="minorEastAsia" w:eastAsiaTheme="minorEastAsia" w:hAnsiTheme="minorEastAsia"/>
          <w:color w:val="000000" w:themeColor="text1"/>
          <w:sz w:val="24"/>
          <w:szCs w:val="24"/>
        </w:rPr>
      </w:pPr>
    </w:p>
    <w:sectPr w:rsidR="00922A16" w:rsidRPr="0076061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D17" w:rsidRDefault="004A2D17" w:rsidP="0096105B">
      <w:r>
        <w:separator/>
      </w:r>
    </w:p>
  </w:endnote>
  <w:endnote w:type="continuationSeparator" w:id="0">
    <w:p w:rsidR="004A2D17" w:rsidRDefault="004A2D17" w:rsidP="0096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991417"/>
      <w:docPartObj>
        <w:docPartGallery w:val="Page Numbers (Bottom of Page)"/>
        <w:docPartUnique/>
      </w:docPartObj>
    </w:sdtPr>
    <w:sdtEndPr/>
    <w:sdtContent>
      <w:p w:rsidR="00D96DC5" w:rsidRDefault="00D96DC5">
        <w:pPr>
          <w:pStyle w:val="a4"/>
          <w:jc w:val="center"/>
        </w:pPr>
        <w:r>
          <w:fldChar w:fldCharType="begin"/>
        </w:r>
        <w:r>
          <w:instrText>PAGE   \* MERGEFORMAT</w:instrText>
        </w:r>
        <w:r>
          <w:fldChar w:fldCharType="separate"/>
        </w:r>
        <w:r w:rsidR="00BF4A88" w:rsidRPr="00BF4A88">
          <w:rPr>
            <w:noProof/>
            <w:lang w:val="zh-CN"/>
          </w:rPr>
          <w:t>3</w:t>
        </w:r>
        <w:r>
          <w:fldChar w:fldCharType="end"/>
        </w:r>
      </w:p>
    </w:sdtContent>
  </w:sdt>
  <w:p w:rsidR="00D96DC5" w:rsidRDefault="00D96DC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D17" w:rsidRDefault="004A2D17" w:rsidP="0096105B">
      <w:r>
        <w:separator/>
      </w:r>
    </w:p>
  </w:footnote>
  <w:footnote w:type="continuationSeparator" w:id="0">
    <w:p w:rsidR="004A2D17" w:rsidRDefault="004A2D17" w:rsidP="00961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84BF1"/>
    <w:multiLevelType w:val="hybridMultilevel"/>
    <w:tmpl w:val="6DD4DF5C"/>
    <w:lvl w:ilvl="0" w:tplc="4A6C5F14">
      <w:start w:val="1"/>
      <w:numFmt w:val="bullet"/>
      <w:lvlText w:val=""/>
      <w:lvlJc w:val="left"/>
      <w:pPr>
        <w:tabs>
          <w:tab w:val="num" w:pos="720"/>
        </w:tabs>
        <w:ind w:left="720" w:hanging="360"/>
      </w:pPr>
      <w:rPr>
        <w:rFonts w:ascii="Wingdings 2" w:hAnsi="Wingdings 2" w:hint="default"/>
      </w:rPr>
    </w:lvl>
    <w:lvl w:ilvl="1" w:tplc="17D0C964" w:tentative="1">
      <w:start w:val="1"/>
      <w:numFmt w:val="bullet"/>
      <w:lvlText w:val=""/>
      <w:lvlJc w:val="left"/>
      <w:pPr>
        <w:tabs>
          <w:tab w:val="num" w:pos="1440"/>
        </w:tabs>
        <w:ind w:left="1440" w:hanging="360"/>
      </w:pPr>
      <w:rPr>
        <w:rFonts w:ascii="Wingdings 2" w:hAnsi="Wingdings 2" w:hint="default"/>
      </w:rPr>
    </w:lvl>
    <w:lvl w:ilvl="2" w:tplc="A7F27FF2" w:tentative="1">
      <w:start w:val="1"/>
      <w:numFmt w:val="bullet"/>
      <w:lvlText w:val=""/>
      <w:lvlJc w:val="left"/>
      <w:pPr>
        <w:tabs>
          <w:tab w:val="num" w:pos="2160"/>
        </w:tabs>
        <w:ind w:left="2160" w:hanging="360"/>
      </w:pPr>
      <w:rPr>
        <w:rFonts w:ascii="Wingdings 2" w:hAnsi="Wingdings 2" w:hint="default"/>
      </w:rPr>
    </w:lvl>
    <w:lvl w:ilvl="3" w:tplc="F5D45C6E" w:tentative="1">
      <w:start w:val="1"/>
      <w:numFmt w:val="bullet"/>
      <w:lvlText w:val=""/>
      <w:lvlJc w:val="left"/>
      <w:pPr>
        <w:tabs>
          <w:tab w:val="num" w:pos="2880"/>
        </w:tabs>
        <w:ind w:left="2880" w:hanging="360"/>
      </w:pPr>
      <w:rPr>
        <w:rFonts w:ascii="Wingdings 2" w:hAnsi="Wingdings 2" w:hint="default"/>
      </w:rPr>
    </w:lvl>
    <w:lvl w:ilvl="4" w:tplc="41141F7A" w:tentative="1">
      <w:start w:val="1"/>
      <w:numFmt w:val="bullet"/>
      <w:lvlText w:val=""/>
      <w:lvlJc w:val="left"/>
      <w:pPr>
        <w:tabs>
          <w:tab w:val="num" w:pos="3600"/>
        </w:tabs>
        <w:ind w:left="3600" w:hanging="360"/>
      </w:pPr>
      <w:rPr>
        <w:rFonts w:ascii="Wingdings 2" w:hAnsi="Wingdings 2" w:hint="default"/>
      </w:rPr>
    </w:lvl>
    <w:lvl w:ilvl="5" w:tplc="F870710A" w:tentative="1">
      <w:start w:val="1"/>
      <w:numFmt w:val="bullet"/>
      <w:lvlText w:val=""/>
      <w:lvlJc w:val="left"/>
      <w:pPr>
        <w:tabs>
          <w:tab w:val="num" w:pos="4320"/>
        </w:tabs>
        <w:ind w:left="4320" w:hanging="360"/>
      </w:pPr>
      <w:rPr>
        <w:rFonts w:ascii="Wingdings 2" w:hAnsi="Wingdings 2" w:hint="default"/>
      </w:rPr>
    </w:lvl>
    <w:lvl w:ilvl="6" w:tplc="F2924B20" w:tentative="1">
      <w:start w:val="1"/>
      <w:numFmt w:val="bullet"/>
      <w:lvlText w:val=""/>
      <w:lvlJc w:val="left"/>
      <w:pPr>
        <w:tabs>
          <w:tab w:val="num" w:pos="5040"/>
        </w:tabs>
        <w:ind w:left="5040" w:hanging="360"/>
      </w:pPr>
      <w:rPr>
        <w:rFonts w:ascii="Wingdings 2" w:hAnsi="Wingdings 2" w:hint="default"/>
      </w:rPr>
    </w:lvl>
    <w:lvl w:ilvl="7" w:tplc="74D46372" w:tentative="1">
      <w:start w:val="1"/>
      <w:numFmt w:val="bullet"/>
      <w:lvlText w:val=""/>
      <w:lvlJc w:val="left"/>
      <w:pPr>
        <w:tabs>
          <w:tab w:val="num" w:pos="5760"/>
        </w:tabs>
        <w:ind w:left="5760" w:hanging="360"/>
      </w:pPr>
      <w:rPr>
        <w:rFonts w:ascii="Wingdings 2" w:hAnsi="Wingdings 2" w:hint="default"/>
      </w:rPr>
    </w:lvl>
    <w:lvl w:ilvl="8" w:tplc="888E1446"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325"/>
    <w:rsid w:val="000556E2"/>
    <w:rsid w:val="000B416C"/>
    <w:rsid w:val="00187724"/>
    <w:rsid w:val="00236662"/>
    <w:rsid w:val="00364F88"/>
    <w:rsid w:val="004A2D17"/>
    <w:rsid w:val="00542E8E"/>
    <w:rsid w:val="006C2A6B"/>
    <w:rsid w:val="006D500C"/>
    <w:rsid w:val="00760611"/>
    <w:rsid w:val="007963B8"/>
    <w:rsid w:val="007E2CC9"/>
    <w:rsid w:val="007F3813"/>
    <w:rsid w:val="00882719"/>
    <w:rsid w:val="009546A5"/>
    <w:rsid w:val="0096105B"/>
    <w:rsid w:val="009A32DA"/>
    <w:rsid w:val="00AD3B57"/>
    <w:rsid w:val="00BF4A88"/>
    <w:rsid w:val="00C524F6"/>
    <w:rsid w:val="00D37146"/>
    <w:rsid w:val="00D96DC5"/>
    <w:rsid w:val="00DD0E3D"/>
    <w:rsid w:val="00DD7325"/>
    <w:rsid w:val="00E45DE9"/>
    <w:rsid w:val="00EB4540"/>
    <w:rsid w:val="00F60E95"/>
    <w:rsid w:val="00F84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05B"/>
    <w:pPr>
      <w:widowControl w:val="0"/>
      <w:jc w:val="both"/>
    </w:pPr>
    <w:rPr>
      <w:rFonts w:ascii="Calibri" w:eastAsia="宋体" w:hAnsi="Calibri" w:cs="Calibri"/>
      <w:szCs w:val="21"/>
    </w:rPr>
  </w:style>
  <w:style w:type="paragraph" w:styleId="2">
    <w:name w:val="heading 2"/>
    <w:basedOn w:val="a"/>
    <w:next w:val="a"/>
    <w:link w:val="2Char"/>
    <w:uiPriority w:val="9"/>
    <w:unhideWhenUsed/>
    <w:qFormat/>
    <w:rsid w:val="000B416C"/>
    <w:pPr>
      <w:keepNext/>
      <w:keepLines/>
      <w:spacing w:before="260" w:after="260" w:line="416" w:lineRule="auto"/>
      <w:outlineLvl w:val="1"/>
    </w:pPr>
    <w:rPr>
      <w:rFonts w:ascii="Cambria"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10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6105B"/>
    <w:rPr>
      <w:sz w:val="18"/>
      <w:szCs w:val="18"/>
    </w:rPr>
  </w:style>
  <w:style w:type="paragraph" w:styleId="a4">
    <w:name w:val="footer"/>
    <w:basedOn w:val="a"/>
    <w:link w:val="Char0"/>
    <w:uiPriority w:val="99"/>
    <w:unhideWhenUsed/>
    <w:rsid w:val="0096105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6105B"/>
    <w:rPr>
      <w:sz w:val="18"/>
      <w:szCs w:val="18"/>
    </w:rPr>
  </w:style>
  <w:style w:type="character" w:styleId="a5">
    <w:name w:val="Strong"/>
    <w:uiPriority w:val="99"/>
    <w:qFormat/>
    <w:rsid w:val="0096105B"/>
    <w:rPr>
      <w:rFonts w:ascii="Times New Roman" w:hAnsi="Times New Roman" w:cs="Times New Roman" w:hint="default"/>
      <w:b/>
      <w:bCs w:val="0"/>
    </w:rPr>
  </w:style>
  <w:style w:type="paragraph" w:styleId="a6">
    <w:name w:val="Normal (Web)"/>
    <w:basedOn w:val="a"/>
    <w:uiPriority w:val="99"/>
    <w:semiHidden/>
    <w:unhideWhenUsed/>
    <w:rsid w:val="0096105B"/>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rsid w:val="0096105B"/>
  </w:style>
  <w:style w:type="character" w:styleId="a7">
    <w:name w:val="Hyperlink"/>
    <w:basedOn w:val="a0"/>
    <w:uiPriority w:val="99"/>
    <w:semiHidden/>
    <w:unhideWhenUsed/>
    <w:rsid w:val="0096105B"/>
    <w:rPr>
      <w:color w:val="0000FF"/>
      <w:u w:val="single"/>
    </w:rPr>
  </w:style>
  <w:style w:type="character" w:customStyle="1" w:styleId="2Char">
    <w:name w:val="标题 2 Char"/>
    <w:basedOn w:val="a0"/>
    <w:link w:val="2"/>
    <w:uiPriority w:val="9"/>
    <w:rsid w:val="000B416C"/>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05B"/>
    <w:pPr>
      <w:widowControl w:val="0"/>
      <w:jc w:val="both"/>
    </w:pPr>
    <w:rPr>
      <w:rFonts w:ascii="Calibri" w:eastAsia="宋体" w:hAnsi="Calibri" w:cs="Calibri"/>
      <w:szCs w:val="21"/>
    </w:rPr>
  </w:style>
  <w:style w:type="paragraph" w:styleId="2">
    <w:name w:val="heading 2"/>
    <w:basedOn w:val="a"/>
    <w:next w:val="a"/>
    <w:link w:val="2Char"/>
    <w:uiPriority w:val="9"/>
    <w:unhideWhenUsed/>
    <w:qFormat/>
    <w:rsid w:val="000B416C"/>
    <w:pPr>
      <w:keepNext/>
      <w:keepLines/>
      <w:spacing w:before="260" w:after="260" w:line="416" w:lineRule="auto"/>
      <w:outlineLvl w:val="1"/>
    </w:pPr>
    <w:rPr>
      <w:rFonts w:ascii="Cambria"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10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6105B"/>
    <w:rPr>
      <w:sz w:val="18"/>
      <w:szCs w:val="18"/>
    </w:rPr>
  </w:style>
  <w:style w:type="paragraph" w:styleId="a4">
    <w:name w:val="footer"/>
    <w:basedOn w:val="a"/>
    <w:link w:val="Char0"/>
    <w:uiPriority w:val="99"/>
    <w:unhideWhenUsed/>
    <w:rsid w:val="0096105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6105B"/>
    <w:rPr>
      <w:sz w:val="18"/>
      <w:szCs w:val="18"/>
    </w:rPr>
  </w:style>
  <w:style w:type="character" w:styleId="a5">
    <w:name w:val="Strong"/>
    <w:uiPriority w:val="99"/>
    <w:qFormat/>
    <w:rsid w:val="0096105B"/>
    <w:rPr>
      <w:rFonts w:ascii="Times New Roman" w:hAnsi="Times New Roman" w:cs="Times New Roman" w:hint="default"/>
      <w:b/>
      <w:bCs w:val="0"/>
    </w:rPr>
  </w:style>
  <w:style w:type="paragraph" w:styleId="a6">
    <w:name w:val="Normal (Web)"/>
    <w:basedOn w:val="a"/>
    <w:uiPriority w:val="99"/>
    <w:semiHidden/>
    <w:unhideWhenUsed/>
    <w:rsid w:val="0096105B"/>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rsid w:val="0096105B"/>
  </w:style>
  <w:style w:type="character" w:styleId="a7">
    <w:name w:val="Hyperlink"/>
    <w:basedOn w:val="a0"/>
    <w:uiPriority w:val="99"/>
    <w:semiHidden/>
    <w:unhideWhenUsed/>
    <w:rsid w:val="0096105B"/>
    <w:rPr>
      <w:color w:val="0000FF"/>
      <w:u w:val="single"/>
    </w:rPr>
  </w:style>
  <w:style w:type="character" w:customStyle="1" w:styleId="2Char">
    <w:name w:val="标题 2 Char"/>
    <w:basedOn w:val="a0"/>
    <w:link w:val="2"/>
    <w:uiPriority w:val="9"/>
    <w:rsid w:val="000B416C"/>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570465">
      <w:bodyDiv w:val="1"/>
      <w:marLeft w:val="0"/>
      <w:marRight w:val="0"/>
      <w:marTop w:val="0"/>
      <w:marBottom w:val="0"/>
      <w:divBdr>
        <w:top w:val="none" w:sz="0" w:space="0" w:color="auto"/>
        <w:left w:val="none" w:sz="0" w:space="0" w:color="auto"/>
        <w:bottom w:val="none" w:sz="0" w:space="0" w:color="auto"/>
        <w:right w:val="none" w:sz="0" w:space="0" w:color="auto"/>
      </w:divBdr>
    </w:div>
    <w:div w:id="179444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2014-10-20T01:49:00Z</dcterms:created>
  <dcterms:modified xsi:type="dcterms:W3CDTF">2015-11-10T01:54:00Z</dcterms:modified>
</cp:coreProperties>
</file>