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3E" w:rsidRDefault="001F5BAA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首都经济贸易大学学位点</w:t>
      </w:r>
      <w:r w:rsidR="00C372AB">
        <w:rPr>
          <w:rFonts w:hint="eastAsia"/>
          <w:b/>
          <w:sz w:val="36"/>
          <w:szCs w:val="36"/>
        </w:rPr>
        <w:t>自我</w:t>
      </w:r>
      <w:bookmarkStart w:id="0" w:name="_GoBack"/>
      <w:bookmarkEnd w:id="0"/>
      <w:r>
        <w:rPr>
          <w:rFonts w:hint="eastAsia"/>
          <w:b/>
          <w:sz w:val="36"/>
          <w:szCs w:val="36"/>
        </w:rPr>
        <w:t>评估打分表</w:t>
      </w:r>
    </w:p>
    <w:p w:rsidR="00371F3E" w:rsidRDefault="001F5BAA">
      <w:pPr>
        <w:widowControl/>
        <w:jc w:val="left"/>
        <w:textAlignment w:val="center"/>
        <w:rPr>
          <w:rFonts w:ascii="黑体" w:eastAsia="黑体" w:hAnsi="宋体" w:cs="黑体"/>
          <w:bCs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24"/>
          <w:lang w:bidi="ar"/>
        </w:rPr>
        <w:t>授权学科名称：               授权学科代码：          授权级别：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344"/>
        <w:gridCol w:w="5229"/>
        <w:gridCol w:w="660"/>
        <w:gridCol w:w="660"/>
      </w:tblGrid>
      <w:tr w:rsidR="00371F3E">
        <w:trPr>
          <w:trHeight w:val="397"/>
          <w:jc w:val="center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52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评估标准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评估结果</w:t>
            </w:r>
          </w:p>
        </w:tc>
      </w:tr>
      <w:tr w:rsidR="00371F3E">
        <w:trPr>
          <w:trHeight w:val="397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  <w:tc>
          <w:tcPr>
            <w:tcW w:w="134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  <w:tc>
          <w:tcPr>
            <w:tcW w:w="52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该项</w:t>
            </w:r>
          </w:p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该项</w:t>
            </w:r>
          </w:p>
          <w:p w:rsidR="00371F3E" w:rsidRDefault="001F5BA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1目标与标准（15%）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1.1培养目标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有明确的学科发展规划与目标。有明确的研究生培养目标</w:t>
            </w:r>
            <w:r>
              <w:rPr>
                <w:rStyle w:val="font21"/>
                <w:rFonts w:hint="default"/>
                <w:lang w:bidi="ar"/>
              </w:rPr>
              <w:t>，定位准确。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1.2学位标准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本学位点有具体的授予博士</w:t>
            </w:r>
            <w:r>
              <w:rPr>
                <w:rStyle w:val="font21"/>
                <w:rFonts w:hint="default"/>
                <w:lang w:bidi="ar"/>
              </w:rPr>
              <w:t>/硕士学位的基本标准，且不低于国务院学位委员会制定的基本要求。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2基本条件（45%）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2.1培养</w:t>
            </w:r>
            <w:r>
              <w:rPr>
                <w:rStyle w:val="font11"/>
                <w:lang w:bidi="ar"/>
              </w:rPr>
              <w:t>方向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有不少于</w:t>
            </w:r>
            <w:r>
              <w:rPr>
                <w:rStyle w:val="font11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个明确、稳定的研究方向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2.2</w:t>
            </w:r>
            <w:r>
              <w:rPr>
                <w:rStyle w:val="font11"/>
                <w:lang w:bidi="ar"/>
              </w:rPr>
              <w:t>师资队伍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学术梯队合理，主要师资队伍</w:t>
            </w:r>
            <w:r>
              <w:rPr>
                <w:rStyle w:val="font21"/>
                <w:rFonts w:hint="default"/>
                <w:lang w:bidi="ar"/>
              </w:rPr>
              <w:t>（年龄、学历/学位、职称）情况满足学位点发展和研究生培养需要。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学科带头人（年龄、学历/学位、职称）业绩水平较高，</w:t>
            </w:r>
            <w:r>
              <w:rPr>
                <w:rStyle w:val="font21"/>
                <w:rFonts w:hint="default"/>
                <w:lang w:bidi="ar"/>
              </w:rPr>
              <w:t>在本专业学术领域应具有较高的影响力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2.3科学研究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近五年科研成果（论文、专利、专著、教材）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承担科研项目情况，且有省部级以上项目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社会认可度较高，有省部级及以上获奖成果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2.4教学科研支撑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承担的省部级及以上精品课程、教学团队及有教学名师称号的教师情况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本学位点可依托的省部级重点实验室、研究基地、工程中心情况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国内外图书</w:t>
            </w:r>
            <w:r>
              <w:rPr>
                <w:rStyle w:val="font1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网络资源能满足培养研究生的需要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3人才培养（40%）</w:t>
            </w:r>
          </w:p>
        </w:tc>
        <w:tc>
          <w:tcPr>
            <w:tcW w:w="1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.1招生选拔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招生计划完成情况</w:t>
            </w: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第一志愿报考情况</w:t>
            </w: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第一志愿考生上线情况</w:t>
            </w: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生源质量较好，有省级重点及以上高校生源</w:t>
            </w: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有具体的提高生源质量的措施</w:t>
            </w: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.2课程教学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本学位点开设的各类专业性课程符合培养目标和培养方案要求，有一定数量高水平课程。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专业课程主讲教师职称、学历情况符合规定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教学过程规范，教学方式灵活、有创新，教学效果好。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有教学质量保障、监督和完善的持续改进教学质量的管理措施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措施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，近年来在教学督导中无明显不规范情况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.3导师指导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具有比较完备的导师培训和考核、评价的机制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研究生对导师指导情况的满意度较高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3.4学术训练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（或实践教学）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实践教学、学术训练管理制度完善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配备专业人员指导实践教学和学术训练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有一定数量的用于研究生学术训练、实践教学的场地、设施和相对固定的实践、实习基地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有实践教学经费保障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研究生承担研究课题及参与助教、助研情况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.5学术交流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主办或参加国际、国内重要学术会议情况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教师和研究生参与国际国内学术交流情况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</w:t>
            </w:r>
            <w:r>
              <w:rPr>
                <w:rStyle w:val="font21"/>
                <w:rFonts w:hint="default"/>
                <w:lang w:bidi="ar"/>
              </w:rPr>
              <w:t>分流淘汰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有关于研究生中期考核、分流淘汰的制度措施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</w:t>
            </w:r>
            <w:r>
              <w:rPr>
                <w:rStyle w:val="font21"/>
                <w:rFonts w:hint="default"/>
                <w:lang w:bidi="ar"/>
              </w:rPr>
              <w:t>论文质量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获得自治区级、校级及其他优秀学位论文情况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学位论文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抽查盲审通过率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、学术不端行为检测不合格情况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69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3.8就业发展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研究生招生、培养、就业联动及就业率情况，掌握毕业生就业去向及用人单位的意见反馈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F3E" w:rsidRDefault="00371F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71F3E">
        <w:trPr>
          <w:trHeight w:val="397"/>
          <w:jc w:val="center"/>
        </w:trPr>
        <w:tc>
          <w:tcPr>
            <w:tcW w:w="7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3E" w:rsidRDefault="001F5BAA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总分：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3E" w:rsidRDefault="00371F3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71F3E">
        <w:trPr>
          <w:trHeight w:val="867"/>
          <w:jc w:val="center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3E" w:rsidRDefault="001F5BA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请您根据本学位授权点的办学定位和研究生培养质量标准，从目标定位、研究方向、师资队伍、人才培养、科学研究、学术交流、资源配置、制度建设、特色与创新等方面提出意见。</w:t>
            </w:r>
          </w:p>
        </w:tc>
      </w:tr>
      <w:tr w:rsidR="00371F3E" w:rsidTr="007B0C93">
        <w:trPr>
          <w:trHeight w:val="7480"/>
          <w:jc w:val="center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371F3E">
            <w:pPr>
              <w:widowControl/>
              <w:ind w:firstLineChars="3000"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1F3E" w:rsidRDefault="001F5BAA" w:rsidP="007B0C93">
            <w:pPr>
              <w:widowControl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专家签字：</w:t>
            </w:r>
          </w:p>
          <w:p w:rsidR="00371F3E" w:rsidRDefault="001F5BAA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年    月    日</w:t>
            </w:r>
          </w:p>
        </w:tc>
      </w:tr>
    </w:tbl>
    <w:p w:rsidR="00371F3E" w:rsidRDefault="00371F3E"/>
    <w:sectPr w:rsidR="0037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B0" w:rsidRDefault="000A49B0" w:rsidP="007B0C93">
      <w:r>
        <w:separator/>
      </w:r>
    </w:p>
  </w:endnote>
  <w:endnote w:type="continuationSeparator" w:id="0">
    <w:p w:rsidR="000A49B0" w:rsidRDefault="000A49B0" w:rsidP="007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B0" w:rsidRDefault="000A49B0" w:rsidP="007B0C93">
      <w:r>
        <w:separator/>
      </w:r>
    </w:p>
  </w:footnote>
  <w:footnote w:type="continuationSeparator" w:id="0">
    <w:p w:rsidR="000A49B0" w:rsidRDefault="000A49B0" w:rsidP="007B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23322"/>
    <w:rsid w:val="000A49B0"/>
    <w:rsid w:val="001F5BAA"/>
    <w:rsid w:val="00371F3E"/>
    <w:rsid w:val="007B0C93"/>
    <w:rsid w:val="00C372AB"/>
    <w:rsid w:val="214E6278"/>
    <w:rsid w:val="25197076"/>
    <w:rsid w:val="2E323322"/>
    <w:rsid w:val="416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mbria" w:eastAsia="Cambria" w:hAnsi="Cambria" w:cs="Cambr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7B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0C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mbria" w:eastAsia="Cambria" w:hAnsi="Cambria" w:cs="Cambr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7B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0C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3</cp:revision>
  <cp:lastPrinted>2017-09-05T05:29:00Z</cp:lastPrinted>
  <dcterms:created xsi:type="dcterms:W3CDTF">2017-09-05T03:30:00Z</dcterms:created>
  <dcterms:modified xsi:type="dcterms:W3CDTF">2017-09-13T06:27:00Z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