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54" w:rsidRDefault="00D52C59" w:rsidP="00A83C54">
      <w:pPr>
        <w:spacing w:line="300" w:lineRule="auto"/>
        <w:jc w:val="center"/>
        <w:rPr>
          <w:rFonts w:ascii="仿宋_GB2312" w:eastAsia="仿宋_GB2312"/>
          <w:b/>
          <w:sz w:val="32"/>
          <w:szCs w:val="32"/>
        </w:rPr>
      </w:pPr>
      <w:r>
        <w:rPr>
          <w:rFonts w:ascii="仿宋_GB2312" w:eastAsia="仿宋_GB2312" w:hint="eastAsia"/>
          <w:b/>
          <w:sz w:val="32"/>
          <w:szCs w:val="32"/>
        </w:rPr>
        <w:t>首都经济贸易大学专业评估基本要求</w:t>
      </w:r>
      <w:bookmarkStart w:id="0" w:name="_GoBack"/>
      <w:bookmarkEnd w:id="0"/>
    </w:p>
    <w:tbl>
      <w:tblPr>
        <w:tblStyle w:val="a5"/>
        <w:tblW w:w="0" w:type="auto"/>
        <w:tblLook w:val="04A0" w:firstRow="1" w:lastRow="0" w:firstColumn="1" w:lastColumn="0" w:noHBand="0" w:noVBand="1"/>
      </w:tblPr>
      <w:tblGrid>
        <w:gridCol w:w="4261"/>
        <w:gridCol w:w="4261"/>
        <w:gridCol w:w="4486"/>
      </w:tblGrid>
      <w:tr w:rsidR="00AE2502" w:rsidRPr="00AE2502" w:rsidTr="00AE2502">
        <w:trPr>
          <w:trHeight w:val="796"/>
        </w:trPr>
        <w:tc>
          <w:tcPr>
            <w:tcW w:w="4261" w:type="dxa"/>
            <w:vAlign w:val="center"/>
          </w:tcPr>
          <w:p w:rsidR="00A83C54" w:rsidRPr="00AE2502" w:rsidRDefault="00A83C54" w:rsidP="00D74714">
            <w:pPr>
              <w:ind w:firstLineChars="350" w:firstLine="735"/>
              <w:rPr>
                <w:rFonts w:ascii="华文楷体" w:eastAsia="华文楷体" w:hAnsi="华文楷体"/>
              </w:rPr>
            </w:pPr>
            <w:r w:rsidRPr="00AE2502">
              <w:rPr>
                <w:rFonts w:ascii="华文楷体" w:eastAsia="华文楷体" w:hAnsi="华文楷体" w:hint="eastAsia"/>
              </w:rPr>
              <w:t>一级指标</w:t>
            </w:r>
          </w:p>
        </w:tc>
        <w:tc>
          <w:tcPr>
            <w:tcW w:w="4261" w:type="dxa"/>
            <w:vAlign w:val="center"/>
          </w:tcPr>
          <w:p w:rsidR="00A83C54" w:rsidRPr="00AE2502" w:rsidRDefault="00A83C54" w:rsidP="00D74714">
            <w:pPr>
              <w:jc w:val="left"/>
              <w:rPr>
                <w:rFonts w:ascii="华文楷体" w:eastAsia="华文楷体" w:hAnsi="华文楷体"/>
              </w:rPr>
            </w:pPr>
            <w:r w:rsidRPr="00AE2502">
              <w:rPr>
                <w:rFonts w:ascii="华文楷体" w:eastAsia="华文楷体" w:hAnsi="华文楷体" w:hint="eastAsia"/>
              </w:rPr>
              <w:t>二级指标</w:t>
            </w:r>
          </w:p>
        </w:tc>
        <w:tc>
          <w:tcPr>
            <w:tcW w:w="4486" w:type="dxa"/>
            <w:vAlign w:val="center"/>
          </w:tcPr>
          <w:p w:rsidR="00A83C54" w:rsidRPr="00AE2502" w:rsidRDefault="00A83C54" w:rsidP="007A1ACF">
            <w:pPr>
              <w:jc w:val="center"/>
              <w:rPr>
                <w:rFonts w:ascii="华文楷体" w:eastAsia="华文楷体" w:hAnsi="华文楷体"/>
              </w:rPr>
            </w:pPr>
            <w:r w:rsidRPr="00AE2502">
              <w:rPr>
                <w:rFonts w:ascii="华文楷体" w:eastAsia="华文楷体" w:hAnsi="华文楷体" w:hint="eastAsia"/>
              </w:rPr>
              <w:t>基本要求</w:t>
            </w:r>
          </w:p>
        </w:tc>
      </w:tr>
      <w:tr w:rsidR="00AE2502" w:rsidRPr="00AE2502" w:rsidTr="00AE2502">
        <w:trPr>
          <w:trHeight w:val="335"/>
        </w:trPr>
        <w:tc>
          <w:tcPr>
            <w:tcW w:w="4261" w:type="dxa"/>
            <w:vAlign w:val="center"/>
          </w:tcPr>
          <w:p w:rsidR="00A83C54" w:rsidRPr="00AE2502" w:rsidRDefault="00A83C54" w:rsidP="00D74714">
            <w:pPr>
              <w:ind w:firstLineChars="350" w:firstLine="735"/>
              <w:rPr>
                <w:rFonts w:ascii="华文楷体" w:eastAsia="华文楷体" w:hAnsi="华文楷体"/>
              </w:rPr>
            </w:pPr>
            <w:r w:rsidRPr="00AE2502">
              <w:rPr>
                <w:rFonts w:ascii="华文楷体" w:eastAsia="华文楷体" w:hAnsi="华文楷体" w:hint="eastAsia"/>
              </w:rPr>
              <w:t>1.思想政治建设（8）</w:t>
            </w:r>
          </w:p>
        </w:tc>
        <w:tc>
          <w:tcPr>
            <w:tcW w:w="4261" w:type="dxa"/>
            <w:vAlign w:val="center"/>
          </w:tcPr>
          <w:p w:rsidR="00A83C54" w:rsidRPr="00AE2502" w:rsidRDefault="00A83C54" w:rsidP="00D74714">
            <w:pPr>
              <w:jc w:val="left"/>
              <w:rPr>
                <w:rFonts w:ascii="华文楷体" w:eastAsia="华文楷体" w:hAnsi="华文楷体"/>
              </w:rPr>
            </w:pPr>
            <w:r w:rsidRPr="00AE2502">
              <w:rPr>
                <w:rFonts w:ascii="华文楷体" w:eastAsia="华文楷体" w:hAnsi="华文楷体" w:hint="eastAsia"/>
              </w:rPr>
              <w:t>落实社会主义核心价值观和“四个服务”的宗旨</w:t>
            </w:r>
          </w:p>
        </w:tc>
        <w:tc>
          <w:tcPr>
            <w:tcW w:w="4486" w:type="dxa"/>
          </w:tcPr>
          <w:p w:rsidR="00A83C54" w:rsidRPr="00AE2502" w:rsidRDefault="00273A6D" w:rsidP="00AE2502">
            <w:pPr>
              <w:jc w:val="left"/>
              <w:rPr>
                <w:rFonts w:ascii="华文楷体" w:eastAsia="华文楷体" w:hAnsi="华文楷体"/>
                <w:szCs w:val="21"/>
              </w:rPr>
            </w:pPr>
            <w:r w:rsidRPr="00AE2502">
              <w:rPr>
                <w:rFonts w:ascii="华文楷体" w:eastAsia="华文楷体" w:hAnsi="华文楷体" w:hint="eastAsia"/>
                <w:szCs w:val="21"/>
              </w:rPr>
              <w:t>采取有力措施，</w:t>
            </w:r>
            <w:r w:rsidR="00A83C54" w:rsidRPr="00AE2502">
              <w:rPr>
                <w:rFonts w:ascii="华文楷体" w:eastAsia="华文楷体" w:hAnsi="华文楷体" w:hint="eastAsia"/>
                <w:szCs w:val="21"/>
              </w:rPr>
              <w:t>在专业建设的各个方面全过程、无死角落实社会主义核心价值观和“四个服务”（</w:t>
            </w:r>
            <w:r w:rsidR="00A83C54" w:rsidRPr="00AE2502">
              <w:rPr>
                <w:rFonts w:ascii="华文楷体" w:eastAsia="华文楷体" w:hAnsi="华文楷体" w:hint="eastAsia"/>
                <w:szCs w:val="21"/>
                <w:shd w:val="clear" w:color="auto" w:fill="FFFFFF"/>
              </w:rPr>
              <w:t>为人民服务，为中国共产党治国理政服务，为巩固和发展中国特色社会主义制度服务，为改革开放和社会主义现代化建设服务</w:t>
            </w:r>
            <w:r w:rsidR="00A83C54" w:rsidRPr="00AE2502">
              <w:rPr>
                <w:rFonts w:ascii="华文楷体" w:eastAsia="华文楷体" w:hAnsi="华文楷体" w:hint="eastAsia"/>
                <w:szCs w:val="21"/>
              </w:rPr>
              <w:t>）的宗旨</w:t>
            </w:r>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2.生源质量与学生发展（10）</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2</w:t>
            </w:r>
            <w:r w:rsidR="00A83C54" w:rsidRPr="00AE2502">
              <w:rPr>
                <w:rFonts w:ascii="华文楷体" w:eastAsia="华文楷体" w:hAnsi="华文楷体" w:hint="eastAsia"/>
              </w:rPr>
              <w:t>.1生源质量（0.3）</w:t>
            </w:r>
          </w:p>
        </w:tc>
        <w:tc>
          <w:tcPr>
            <w:tcW w:w="4486" w:type="dxa"/>
          </w:tcPr>
          <w:p w:rsidR="00A83C54" w:rsidRPr="00AE2502" w:rsidRDefault="00973070" w:rsidP="00AE2502">
            <w:pPr>
              <w:jc w:val="left"/>
              <w:rPr>
                <w:rFonts w:ascii="华文楷体" w:eastAsia="华文楷体" w:hAnsi="华文楷体"/>
                <w:szCs w:val="21"/>
              </w:rPr>
            </w:pPr>
            <w:r w:rsidRPr="00AE2502">
              <w:rPr>
                <w:rFonts w:ascii="华文楷体" w:eastAsia="华文楷体" w:hAnsi="华文楷体" w:hint="eastAsia"/>
                <w:szCs w:val="21"/>
              </w:rPr>
              <w:t>在社会上具有良好的口碑，</w:t>
            </w:r>
            <w:r w:rsidR="00863ABC" w:rsidRPr="00AE2502">
              <w:rPr>
                <w:rFonts w:ascii="华文楷体" w:eastAsia="华文楷体" w:hAnsi="华文楷体" w:hint="eastAsia"/>
                <w:szCs w:val="21"/>
              </w:rPr>
              <w:t>有积极、有效的措施</w:t>
            </w:r>
            <w:r w:rsidRPr="00AE2502">
              <w:rPr>
                <w:rFonts w:ascii="华文楷体" w:eastAsia="华文楷体" w:hAnsi="华文楷体" w:hint="eastAsia"/>
                <w:szCs w:val="21"/>
              </w:rPr>
              <w:t>吸引好的生源报考</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2</w:t>
            </w:r>
            <w:r w:rsidR="00A83C54" w:rsidRPr="00AE2502">
              <w:rPr>
                <w:rFonts w:ascii="华文楷体" w:eastAsia="华文楷体" w:hAnsi="华文楷体" w:hint="eastAsia"/>
              </w:rPr>
              <w:t>.2学生指导（0.5）</w:t>
            </w:r>
          </w:p>
        </w:tc>
        <w:tc>
          <w:tcPr>
            <w:tcW w:w="4486" w:type="dxa"/>
          </w:tcPr>
          <w:p w:rsidR="00A83C54" w:rsidRPr="00AE2502" w:rsidRDefault="004D363E" w:rsidP="00AE2502">
            <w:pPr>
              <w:jc w:val="left"/>
              <w:rPr>
                <w:rFonts w:ascii="华文楷体" w:eastAsia="华文楷体" w:hAnsi="华文楷体"/>
              </w:rPr>
            </w:pPr>
            <w:r w:rsidRPr="00AE2502">
              <w:rPr>
                <w:rFonts w:ascii="华文楷体" w:eastAsia="华文楷体" w:hAnsi="华文楷体" w:hint="eastAsia"/>
                <w:szCs w:val="21"/>
              </w:rPr>
              <w:t xml:space="preserve">专业能持续跟踪学生在整个学业过程中的表现，对学生进行学习指导、职业规划、就业创业指导、心理辅导等，制度和措施完善并得到有效执行，能够保证学生毕业时满足专业制定的学习成果要求 </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2</w:t>
            </w:r>
            <w:r w:rsidR="00A83C54" w:rsidRPr="00AE2502">
              <w:rPr>
                <w:rFonts w:ascii="华文楷体" w:eastAsia="华文楷体" w:hAnsi="华文楷体" w:hint="eastAsia"/>
              </w:rPr>
              <w:t>.3管理服务（0.2）</w:t>
            </w:r>
          </w:p>
        </w:tc>
        <w:tc>
          <w:tcPr>
            <w:tcW w:w="4486" w:type="dxa"/>
          </w:tcPr>
          <w:p w:rsidR="00A83C54" w:rsidRPr="00AE2502" w:rsidRDefault="00273A6D" w:rsidP="00AE2502">
            <w:pPr>
              <w:jc w:val="left"/>
              <w:rPr>
                <w:rFonts w:ascii="华文楷体" w:eastAsia="华文楷体" w:hAnsi="华文楷体"/>
                <w:szCs w:val="21"/>
              </w:rPr>
            </w:pPr>
            <w:r w:rsidRPr="00AE2502">
              <w:rPr>
                <w:rFonts w:ascii="华文楷体" w:eastAsia="华文楷体" w:hAnsi="华文楷体" w:hint="eastAsia"/>
                <w:szCs w:val="21"/>
              </w:rPr>
              <w:t>为学生发展做到管理制度健全，</w:t>
            </w:r>
            <w:r w:rsidR="004D363E" w:rsidRPr="00AE2502">
              <w:rPr>
                <w:rFonts w:ascii="华文楷体" w:eastAsia="华文楷体" w:hAnsi="华文楷体" w:hint="eastAsia"/>
                <w:szCs w:val="21"/>
              </w:rPr>
              <w:t>人员、资金充足</w:t>
            </w:r>
            <w:r w:rsidRPr="00AE2502">
              <w:rPr>
                <w:rFonts w:ascii="华文楷体" w:eastAsia="华文楷体" w:hAnsi="华文楷体" w:hint="eastAsia"/>
                <w:szCs w:val="21"/>
              </w:rPr>
              <w:t>，</w:t>
            </w:r>
            <w:r w:rsidR="00863ABC" w:rsidRPr="00AE2502">
              <w:rPr>
                <w:rFonts w:ascii="华文楷体" w:eastAsia="华文楷体" w:hAnsi="华文楷体" w:hint="eastAsia"/>
                <w:szCs w:val="21"/>
              </w:rPr>
              <w:t>服务渠道畅通，服务态度优良</w:t>
            </w:r>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3.专业定位和培养目标（15）</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3</w:t>
            </w:r>
            <w:r w:rsidR="00A83C54" w:rsidRPr="00AE2502">
              <w:rPr>
                <w:rFonts w:ascii="华文楷体" w:eastAsia="华文楷体" w:hAnsi="华文楷体" w:hint="eastAsia"/>
              </w:rPr>
              <w:t>.1目标定位（0.2）</w:t>
            </w:r>
          </w:p>
        </w:tc>
        <w:tc>
          <w:tcPr>
            <w:tcW w:w="4486" w:type="dxa"/>
          </w:tcPr>
          <w:p w:rsidR="00A83C54" w:rsidRPr="00AE2502" w:rsidRDefault="00973070" w:rsidP="00AE2502">
            <w:pPr>
              <w:jc w:val="left"/>
              <w:rPr>
                <w:rFonts w:ascii="华文楷体" w:eastAsia="华文楷体" w:hAnsi="华文楷体"/>
                <w:szCs w:val="21"/>
              </w:rPr>
            </w:pPr>
            <w:r w:rsidRPr="00AE2502">
              <w:rPr>
                <w:rFonts w:ascii="华文楷体" w:eastAsia="华文楷体" w:hAnsi="华文楷体" w:hint="eastAsia"/>
                <w:szCs w:val="21"/>
              </w:rPr>
              <w:t>专业定位明确，理念先进</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3</w:t>
            </w:r>
            <w:r w:rsidR="00A83C54" w:rsidRPr="00AE2502">
              <w:rPr>
                <w:rFonts w:ascii="华文楷体" w:eastAsia="华文楷体" w:hAnsi="华文楷体" w:hint="eastAsia"/>
              </w:rPr>
              <w:t>.2专业建设规划（0.2）</w:t>
            </w:r>
          </w:p>
        </w:tc>
        <w:tc>
          <w:tcPr>
            <w:tcW w:w="4486" w:type="dxa"/>
          </w:tcPr>
          <w:p w:rsidR="00A83C54" w:rsidRPr="00AE2502" w:rsidRDefault="00973070" w:rsidP="00AE2502">
            <w:pPr>
              <w:jc w:val="left"/>
              <w:rPr>
                <w:rFonts w:ascii="华文楷体" w:eastAsia="华文楷体" w:hAnsi="华文楷体"/>
                <w:szCs w:val="21"/>
              </w:rPr>
            </w:pPr>
            <w:r w:rsidRPr="00AE2502">
              <w:rPr>
                <w:rFonts w:ascii="华文楷体" w:eastAsia="华文楷体" w:hAnsi="华文楷体" w:hint="eastAsia"/>
                <w:szCs w:val="21"/>
              </w:rPr>
              <w:t>专业设置符合学校办学定位；专业建设与发展规划科学合理，阶段目标明确，可操作性强</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334C17">
            <w:pPr>
              <w:jc w:val="left"/>
              <w:rPr>
                <w:rFonts w:ascii="华文楷体" w:eastAsia="华文楷体" w:hAnsi="华文楷体"/>
              </w:rPr>
            </w:pPr>
            <w:r>
              <w:rPr>
                <w:rFonts w:ascii="华文楷体" w:eastAsia="华文楷体" w:hAnsi="华文楷体" w:hint="eastAsia"/>
              </w:rPr>
              <w:t>3</w:t>
            </w:r>
            <w:r w:rsidR="00A83C54" w:rsidRPr="00AE2502">
              <w:rPr>
                <w:rFonts w:ascii="华文楷体" w:eastAsia="华文楷体" w:hAnsi="华文楷体" w:hint="eastAsia"/>
              </w:rPr>
              <w:t>.</w:t>
            </w:r>
            <w:r>
              <w:rPr>
                <w:rFonts w:ascii="华文楷体" w:eastAsia="华文楷体" w:hAnsi="华文楷体" w:hint="eastAsia"/>
              </w:rPr>
              <w:t>3</w:t>
            </w:r>
            <w:r w:rsidR="00A83C54" w:rsidRPr="00AE2502">
              <w:rPr>
                <w:rFonts w:ascii="华文楷体" w:eastAsia="华文楷体" w:hAnsi="华文楷体" w:hint="eastAsia"/>
              </w:rPr>
              <w:t>制定完善（0.2）</w:t>
            </w:r>
          </w:p>
        </w:tc>
        <w:tc>
          <w:tcPr>
            <w:tcW w:w="4486" w:type="dxa"/>
          </w:tcPr>
          <w:p w:rsidR="00A83C54" w:rsidRPr="00AE2502" w:rsidRDefault="00973070" w:rsidP="00AE2502">
            <w:pPr>
              <w:jc w:val="left"/>
              <w:rPr>
                <w:rFonts w:ascii="华文楷体" w:eastAsia="华文楷体" w:hAnsi="华文楷体"/>
                <w:szCs w:val="21"/>
              </w:rPr>
            </w:pPr>
            <w:r w:rsidRPr="00AE2502">
              <w:rPr>
                <w:rFonts w:ascii="华文楷体" w:eastAsia="华文楷体" w:hAnsi="华文楷体" w:hint="eastAsia"/>
                <w:szCs w:val="21"/>
              </w:rPr>
              <w:t>培养方案符合专业定位，突出专业特色</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334C17">
            <w:pPr>
              <w:jc w:val="left"/>
              <w:rPr>
                <w:rFonts w:ascii="华文楷体" w:eastAsia="华文楷体" w:hAnsi="华文楷体"/>
              </w:rPr>
            </w:pPr>
            <w:r>
              <w:rPr>
                <w:rFonts w:ascii="华文楷体" w:eastAsia="华文楷体" w:hAnsi="华文楷体" w:hint="eastAsia"/>
              </w:rPr>
              <w:t>3.</w:t>
            </w:r>
            <w:r w:rsidR="00A83C54" w:rsidRPr="00AE2502">
              <w:rPr>
                <w:rFonts w:ascii="华文楷体" w:eastAsia="华文楷体" w:hAnsi="华文楷体" w:hint="eastAsia"/>
              </w:rPr>
              <w:t>.</w:t>
            </w:r>
            <w:r>
              <w:rPr>
                <w:rFonts w:ascii="华文楷体" w:eastAsia="华文楷体" w:hAnsi="华文楷体" w:hint="eastAsia"/>
              </w:rPr>
              <w:t>4</w:t>
            </w:r>
            <w:r w:rsidR="00A83C54" w:rsidRPr="00AE2502">
              <w:rPr>
                <w:rFonts w:ascii="华文楷体" w:eastAsia="华文楷体" w:hAnsi="华文楷体" w:hint="eastAsia"/>
              </w:rPr>
              <w:t>方案执行（0.4）</w:t>
            </w:r>
          </w:p>
        </w:tc>
        <w:tc>
          <w:tcPr>
            <w:tcW w:w="4486" w:type="dxa"/>
          </w:tcPr>
          <w:p w:rsidR="00A83C54" w:rsidRPr="00AE2502" w:rsidRDefault="00973070" w:rsidP="00AE2502">
            <w:pPr>
              <w:jc w:val="left"/>
              <w:rPr>
                <w:rFonts w:ascii="华文楷体" w:eastAsia="华文楷体" w:hAnsi="华文楷体"/>
                <w:szCs w:val="21"/>
              </w:rPr>
            </w:pPr>
            <w:r w:rsidRPr="00AE2502">
              <w:rPr>
                <w:rFonts w:ascii="华文楷体" w:eastAsia="华文楷体" w:hAnsi="华文楷体" w:hint="eastAsia"/>
                <w:szCs w:val="21"/>
              </w:rPr>
              <w:t>教学计划能够严格地执行，</w:t>
            </w:r>
            <w:proofErr w:type="gramStart"/>
            <w:r w:rsidRPr="00AE2502">
              <w:rPr>
                <w:rFonts w:ascii="华文楷体" w:eastAsia="华文楷体" w:hAnsi="华文楷体" w:hint="eastAsia"/>
                <w:szCs w:val="21"/>
              </w:rPr>
              <w:t>无调整</w:t>
            </w:r>
            <w:proofErr w:type="gramEnd"/>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4.课程体系和培养模式（20）</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4</w:t>
            </w:r>
            <w:r w:rsidR="00A83C54" w:rsidRPr="00AE2502">
              <w:rPr>
                <w:rFonts w:ascii="华文楷体" w:eastAsia="华文楷体" w:hAnsi="华文楷体" w:hint="eastAsia"/>
              </w:rPr>
              <w:t>.1课程体系（0.3）</w:t>
            </w:r>
          </w:p>
        </w:tc>
        <w:tc>
          <w:tcPr>
            <w:tcW w:w="4486" w:type="dxa"/>
          </w:tcPr>
          <w:p w:rsidR="00A83C54" w:rsidRPr="00AE2502" w:rsidRDefault="00973070" w:rsidP="00AE2502">
            <w:pPr>
              <w:jc w:val="left"/>
              <w:rPr>
                <w:rFonts w:ascii="华文楷体" w:eastAsia="华文楷体" w:hAnsi="华文楷体"/>
                <w:szCs w:val="21"/>
              </w:rPr>
            </w:pPr>
            <w:r w:rsidRPr="00AE2502">
              <w:rPr>
                <w:rFonts w:ascii="华文楷体" w:eastAsia="华文楷体" w:hAnsi="华文楷体" w:hint="eastAsia"/>
                <w:szCs w:val="21"/>
              </w:rPr>
              <w:t>课程体系结构合理，课程设置合理且符合教育部有关规定；课程之间边界清晰，学期安排科</w:t>
            </w:r>
            <w:r w:rsidRPr="00AE2502">
              <w:rPr>
                <w:rFonts w:ascii="华文楷体" w:eastAsia="华文楷体" w:hAnsi="华文楷体" w:hint="eastAsia"/>
                <w:szCs w:val="21"/>
              </w:rPr>
              <w:lastRenderedPageBreak/>
              <w:t>学、合理；课程体系改革思路清晰</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4</w:t>
            </w:r>
            <w:r w:rsidR="00A83C54" w:rsidRPr="00AE2502">
              <w:rPr>
                <w:rFonts w:ascii="华文楷体" w:eastAsia="华文楷体" w:hAnsi="华文楷体" w:hint="eastAsia"/>
              </w:rPr>
              <w:t>.2教材建设（0.2）</w:t>
            </w:r>
          </w:p>
        </w:tc>
        <w:tc>
          <w:tcPr>
            <w:tcW w:w="4486" w:type="dxa"/>
          </w:tcPr>
          <w:p w:rsidR="00A83C54" w:rsidRPr="00AE2502" w:rsidRDefault="00EB4E81" w:rsidP="00AE2502">
            <w:pPr>
              <w:jc w:val="left"/>
              <w:rPr>
                <w:rFonts w:ascii="华文楷体" w:eastAsia="华文楷体" w:hAnsi="华文楷体"/>
                <w:szCs w:val="21"/>
              </w:rPr>
            </w:pPr>
            <w:r w:rsidRPr="00AE2502">
              <w:rPr>
                <w:rFonts w:ascii="华文楷体" w:eastAsia="华文楷体" w:hAnsi="华文楷体" w:hint="eastAsia"/>
                <w:szCs w:val="21"/>
              </w:rPr>
              <w:t>有支持教材编写的规划、措施；成效良好；符合学校教材选用办法，并注意选用近三年出版的新教材</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4</w:t>
            </w:r>
            <w:r w:rsidR="00A83C54" w:rsidRPr="00AE2502">
              <w:rPr>
                <w:rFonts w:ascii="华文楷体" w:eastAsia="华文楷体" w:hAnsi="华文楷体" w:hint="eastAsia"/>
              </w:rPr>
              <w:t>.3</w:t>
            </w:r>
            <w:r w:rsidR="00A83C54" w:rsidRPr="00AE2502">
              <w:rPr>
                <w:rFonts w:ascii="华文楷体" w:eastAsia="华文楷体" w:hAnsi="华文楷体"/>
              </w:rPr>
              <w:t xml:space="preserve"> </w:t>
            </w:r>
            <w:r w:rsidR="00A83C54" w:rsidRPr="00AE2502">
              <w:rPr>
                <w:rFonts w:ascii="华文楷体" w:eastAsia="华文楷体" w:hAnsi="华文楷体" w:hint="eastAsia"/>
              </w:rPr>
              <w:t>实践教学（0.3）</w:t>
            </w:r>
          </w:p>
        </w:tc>
        <w:tc>
          <w:tcPr>
            <w:tcW w:w="4486" w:type="dxa"/>
          </w:tcPr>
          <w:p w:rsidR="00A83C54" w:rsidRPr="00AE2502" w:rsidRDefault="00EB4E81" w:rsidP="00AE2502">
            <w:pPr>
              <w:jc w:val="left"/>
              <w:rPr>
                <w:rFonts w:ascii="华文楷体" w:eastAsia="华文楷体" w:hAnsi="华文楷体"/>
                <w:szCs w:val="21"/>
              </w:rPr>
            </w:pPr>
            <w:r w:rsidRPr="00AE2502">
              <w:rPr>
                <w:rFonts w:ascii="华文楷体" w:eastAsia="华文楷体" w:hAnsi="华文楷体" w:hint="eastAsia"/>
                <w:szCs w:val="21"/>
              </w:rPr>
              <w:t>按教学计划认真组织各项实践教学活动，时间有保证，措施完善，效果好</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4</w:t>
            </w:r>
            <w:r w:rsidR="00A83C54" w:rsidRPr="00AE2502">
              <w:rPr>
                <w:rFonts w:ascii="华文楷体" w:eastAsia="华文楷体" w:hAnsi="华文楷体" w:hint="eastAsia"/>
              </w:rPr>
              <w:t>.4培养模式（0.2）</w:t>
            </w:r>
          </w:p>
        </w:tc>
        <w:tc>
          <w:tcPr>
            <w:tcW w:w="4486" w:type="dxa"/>
          </w:tcPr>
          <w:p w:rsidR="00E67CB0" w:rsidRPr="00AE2502" w:rsidRDefault="00E67CB0"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积极探索人才培养模式改革与创新，产学研协同育人、人才培养国际化等符合专业人才培养的定位和要求。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5.毕业要求与目标达成（15）</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5</w:t>
            </w:r>
            <w:r w:rsidR="00A83C54" w:rsidRPr="00AE2502">
              <w:rPr>
                <w:rFonts w:ascii="华文楷体" w:eastAsia="华文楷体" w:hAnsi="华文楷体" w:hint="eastAsia"/>
              </w:rPr>
              <w:t>.1毕业要求（0.3）</w:t>
            </w:r>
          </w:p>
        </w:tc>
        <w:tc>
          <w:tcPr>
            <w:tcW w:w="4486" w:type="dxa"/>
          </w:tcPr>
          <w:p w:rsidR="00A83C54" w:rsidRPr="00AE2502" w:rsidRDefault="00E67CB0"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专业有明确、公开、可衡量的毕业要求与学习成果（见附注）且能够体现专业特色；所覆盖的内容符合专业人才培养的定位。 </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5</w:t>
            </w:r>
            <w:r w:rsidR="00A83C54" w:rsidRPr="00AE2502">
              <w:rPr>
                <w:rFonts w:ascii="华文楷体" w:eastAsia="华文楷体" w:hAnsi="华文楷体" w:hint="eastAsia"/>
              </w:rPr>
              <w:t>.2目标达成（0.3）</w:t>
            </w:r>
          </w:p>
        </w:tc>
        <w:tc>
          <w:tcPr>
            <w:tcW w:w="4486" w:type="dxa"/>
          </w:tcPr>
          <w:p w:rsidR="00E67CB0" w:rsidRPr="00AE2502" w:rsidRDefault="00E67CB0"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专业学习成果能支撑本专业培养目标的达成；有目标达成评价体系，并能够对自身学习成果达成进行评价。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5</w:t>
            </w:r>
            <w:r w:rsidR="00A83C54" w:rsidRPr="00AE2502">
              <w:rPr>
                <w:rFonts w:ascii="华文楷体" w:eastAsia="华文楷体" w:hAnsi="华文楷体" w:hint="eastAsia"/>
              </w:rPr>
              <w:t>.3创新创业（0.2）</w:t>
            </w:r>
          </w:p>
        </w:tc>
        <w:tc>
          <w:tcPr>
            <w:tcW w:w="4486" w:type="dxa"/>
          </w:tcPr>
          <w:p w:rsidR="00E67CB0" w:rsidRPr="00AE2502" w:rsidRDefault="00E67CB0"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建有创新创业教育体系，在校生创新创业活动、成果与发展态势符合专业人才培养的定位与目标。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5</w:t>
            </w:r>
            <w:r w:rsidR="00A83C54" w:rsidRPr="00AE2502">
              <w:rPr>
                <w:rFonts w:ascii="华文楷体" w:eastAsia="华文楷体" w:hAnsi="华文楷体" w:hint="eastAsia"/>
              </w:rPr>
              <w:t>.4毕业发展（0.2）</w:t>
            </w:r>
          </w:p>
        </w:tc>
        <w:tc>
          <w:tcPr>
            <w:tcW w:w="4486" w:type="dxa"/>
          </w:tcPr>
          <w:p w:rsidR="00E67CB0" w:rsidRPr="00AE2502" w:rsidRDefault="00E67CB0"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毕业生的去向与就业符合专业人才培养的定位与目标。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6.师资队伍与教学投入（15）</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6</w:t>
            </w:r>
            <w:r w:rsidR="00A83C54" w:rsidRPr="00AE2502">
              <w:rPr>
                <w:rFonts w:ascii="华文楷体" w:eastAsia="华文楷体" w:hAnsi="华文楷体" w:hint="eastAsia"/>
              </w:rPr>
              <w:t>.1基本情况（0.3）</w:t>
            </w:r>
          </w:p>
        </w:tc>
        <w:tc>
          <w:tcPr>
            <w:tcW w:w="4486" w:type="dxa"/>
          </w:tcPr>
          <w:p w:rsidR="00A83C54" w:rsidRPr="00AE2502" w:rsidRDefault="007D72B3" w:rsidP="00AE2502">
            <w:pPr>
              <w:jc w:val="left"/>
              <w:rPr>
                <w:rFonts w:ascii="华文楷体" w:eastAsia="华文楷体" w:hAnsi="华文楷体"/>
                <w:szCs w:val="21"/>
              </w:rPr>
            </w:pPr>
            <w:r w:rsidRPr="00AE2502">
              <w:rPr>
                <w:rFonts w:ascii="华文楷体" w:eastAsia="华文楷体" w:hAnsi="华文楷体" w:hint="eastAsia"/>
                <w:szCs w:val="21"/>
              </w:rPr>
              <w:t>数量充足、结构合理</w:t>
            </w:r>
            <w:r w:rsidR="00100615" w:rsidRPr="00AE2502">
              <w:rPr>
                <w:rFonts w:ascii="华文楷体" w:eastAsia="华文楷体" w:hAnsi="华文楷体" w:hint="eastAsia"/>
                <w:szCs w:val="21"/>
              </w:rPr>
              <w:t>、</w:t>
            </w:r>
            <w:r w:rsidRPr="00AE2502">
              <w:rPr>
                <w:rFonts w:ascii="华文楷体" w:eastAsia="华文楷体" w:hAnsi="华文楷体" w:hint="eastAsia"/>
                <w:szCs w:val="21"/>
              </w:rPr>
              <w:t>专业负责人具有正高以上职称并且</w:t>
            </w:r>
            <w:r w:rsidR="00E67CB0" w:rsidRPr="00AE2502">
              <w:rPr>
                <w:rFonts w:ascii="华文楷体" w:eastAsia="华文楷体" w:hAnsi="华文楷体" w:hint="eastAsia"/>
                <w:szCs w:val="21"/>
              </w:rPr>
              <w:t>具有较高的学术声誉和社会影响；</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6</w:t>
            </w:r>
            <w:r w:rsidR="00A83C54" w:rsidRPr="00AE2502">
              <w:rPr>
                <w:rFonts w:ascii="华文楷体" w:eastAsia="华文楷体" w:hAnsi="华文楷体" w:hint="eastAsia"/>
              </w:rPr>
              <w:t>.2综合能力（0.2）</w:t>
            </w:r>
          </w:p>
        </w:tc>
        <w:tc>
          <w:tcPr>
            <w:tcW w:w="4486" w:type="dxa"/>
          </w:tcPr>
          <w:p w:rsidR="00A83C54" w:rsidRPr="00AE2502" w:rsidRDefault="007D72B3"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教师能够明确自己在学生学习成果达成及评价过程中的责任和任务，采取有力措施不断改进教学工作，提升教学质量和科研水平</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6</w:t>
            </w:r>
            <w:r w:rsidR="00A83C54" w:rsidRPr="00AE2502">
              <w:rPr>
                <w:rFonts w:ascii="华文楷体" w:eastAsia="华文楷体" w:hAnsi="华文楷体" w:hint="eastAsia"/>
              </w:rPr>
              <w:t>3教学投入与教改（0.3）</w:t>
            </w:r>
          </w:p>
        </w:tc>
        <w:tc>
          <w:tcPr>
            <w:tcW w:w="4486" w:type="dxa"/>
          </w:tcPr>
          <w:p w:rsidR="00A83C54" w:rsidRPr="00AE2502" w:rsidRDefault="007D72B3"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专业教师有足够时间和精力投入到课堂教学和学生指导，并积极参与教学研究与改革，高层次教师参与本科专业教学、教改、教研比例高，且效果良好。 </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6</w:t>
            </w:r>
            <w:r w:rsidR="00A83C54" w:rsidRPr="00AE2502">
              <w:rPr>
                <w:rFonts w:ascii="华文楷体" w:eastAsia="华文楷体" w:hAnsi="华文楷体" w:hint="eastAsia"/>
              </w:rPr>
              <w:t>.4教师发展（0.1）</w:t>
            </w:r>
          </w:p>
        </w:tc>
        <w:tc>
          <w:tcPr>
            <w:tcW w:w="4486" w:type="dxa"/>
          </w:tcPr>
          <w:p w:rsidR="007D72B3" w:rsidRPr="00AE2502" w:rsidRDefault="007D72B3" w:rsidP="00AE2502">
            <w:pPr>
              <w:jc w:val="left"/>
              <w:rPr>
                <w:rFonts w:ascii="华文楷体" w:eastAsia="华文楷体" w:hAnsi="华文楷体"/>
                <w:szCs w:val="21"/>
              </w:rPr>
            </w:pPr>
            <w:r w:rsidRPr="00AE2502">
              <w:rPr>
                <w:rFonts w:ascii="华文楷体" w:eastAsia="华文楷体" w:hAnsi="华文楷体" w:hint="eastAsia"/>
                <w:szCs w:val="21"/>
              </w:rPr>
              <w:t>根据专业发展、定位与现有师资情况，制定本专业（三、五年）师资规划；有教师职业发展制度和措施，能够定期为教师特别是青年教师提供业务培训、学术交流、在职进修等职业发展机会。</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6.</w:t>
            </w:r>
            <w:r w:rsidR="00A83C54" w:rsidRPr="00AE2502">
              <w:rPr>
                <w:rFonts w:ascii="华文楷体" w:eastAsia="华文楷体" w:hAnsi="华文楷体" w:hint="eastAsia"/>
              </w:rPr>
              <w:t>5国际化水平（0.1）</w:t>
            </w:r>
          </w:p>
        </w:tc>
        <w:tc>
          <w:tcPr>
            <w:tcW w:w="4486" w:type="dxa"/>
          </w:tcPr>
          <w:p w:rsidR="007D72B3" w:rsidRPr="00AE2502" w:rsidRDefault="007D72B3"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重视教师的国际化水平，采取的措施和效果符合学校人才培养的定位与需要。</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 xml:space="preserve">    7.教学条件与日常管理保障（10）</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7.1</w:t>
            </w:r>
            <w:r w:rsidR="00A83C54" w:rsidRPr="00AE2502">
              <w:rPr>
                <w:rFonts w:ascii="华文楷体" w:eastAsia="华文楷体" w:hAnsi="华文楷体" w:hint="eastAsia"/>
              </w:rPr>
              <w:t>硬件条件（0.1）</w:t>
            </w:r>
          </w:p>
        </w:tc>
        <w:tc>
          <w:tcPr>
            <w:tcW w:w="4486" w:type="dxa"/>
          </w:tcPr>
          <w:p w:rsidR="0051454E" w:rsidRPr="00AE2502" w:rsidRDefault="0051454E"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教学设施、公共基础设施和图书信息资源在数量和功能上能够满足学生学习及教师教学的需要。建有良好的管理、维护、更新和共享机制，并能够有效实施。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7.2</w:t>
            </w:r>
            <w:r w:rsidR="00A83C54" w:rsidRPr="00AE2502">
              <w:rPr>
                <w:rFonts w:ascii="华文楷体" w:eastAsia="华文楷体" w:hAnsi="华文楷体" w:hint="eastAsia"/>
              </w:rPr>
              <w:t>数字资源（0.1）</w:t>
            </w:r>
          </w:p>
        </w:tc>
        <w:tc>
          <w:tcPr>
            <w:tcW w:w="4486" w:type="dxa"/>
          </w:tcPr>
          <w:p w:rsidR="0051454E" w:rsidRPr="00AE2502" w:rsidRDefault="0051454E"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数字资源建设、运用与效果良好，具有可满足“互联网+”时代教育要求的数字化教学与信息化管理平台</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7.3</w:t>
            </w:r>
            <w:r w:rsidR="00A83C54" w:rsidRPr="00AE2502">
              <w:rPr>
                <w:rFonts w:ascii="华文楷体" w:eastAsia="华文楷体" w:hAnsi="华文楷体" w:hint="eastAsia"/>
              </w:rPr>
              <w:t>实习基地（0.3）</w:t>
            </w:r>
          </w:p>
        </w:tc>
        <w:tc>
          <w:tcPr>
            <w:tcW w:w="4486" w:type="dxa"/>
          </w:tcPr>
          <w:p w:rsidR="0051454E" w:rsidRPr="00AE2502" w:rsidRDefault="0051454E"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有稳定、充足的校内外实习实训基地，建设实</w:t>
            </w:r>
            <w:r w:rsidRPr="00AE2502">
              <w:rPr>
                <w:rFonts w:ascii="华文楷体" w:eastAsia="华文楷体" w:hAnsi="华文楷体" w:hint="eastAsia"/>
                <w:color w:val="auto"/>
                <w:sz w:val="21"/>
                <w:szCs w:val="21"/>
              </w:rPr>
              <w:lastRenderedPageBreak/>
              <w:t>践教学平台和</w:t>
            </w:r>
            <w:proofErr w:type="gramStart"/>
            <w:r w:rsidRPr="00AE2502">
              <w:rPr>
                <w:rFonts w:ascii="华文楷体" w:eastAsia="华文楷体" w:hAnsi="华文楷体" w:hint="eastAsia"/>
                <w:color w:val="auto"/>
                <w:sz w:val="21"/>
                <w:szCs w:val="21"/>
              </w:rPr>
              <w:t>校企</w:t>
            </w:r>
            <w:proofErr w:type="gramEnd"/>
            <w:r w:rsidRPr="00AE2502">
              <w:rPr>
                <w:rFonts w:ascii="华文楷体" w:eastAsia="华文楷体" w:hAnsi="华文楷体" w:hint="eastAsia"/>
                <w:color w:val="auto"/>
                <w:sz w:val="21"/>
                <w:szCs w:val="21"/>
              </w:rPr>
              <w:t xml:space="preserve">合作育人平台，在教学过程中为学生的实践活动和创新创业活动提供有效支持。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7.4</w:t>
            </w:r>
            <w:r w:rsidR="00A83C54" w:rsidRPr="00AE2502">
              <w:rPr>
                <w:rFonts w:ascii="华文楷体" w:eastAsia="华文楷体" w:hAnsi="华文楷体" w:hint="eastAsia"/>
              </w:rPr>
              <w:t>教学经费（0.2）</w:t>
            </w:r>
          </w:p>
        </w:tc>
        <w:tc>
          <w:tcPr>
            <w:tcW w:w="4486" w:type="dxa"/>
          </w:tcPr>
          <w:p w:rsidR="0051454E" w:rsidRPr="00AE2502" w:rsidRDefault="0051454E"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教学经费充足，教学管理与服务规范，能够有效保证课程体系实施和学生学习成果的达成。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7.5</w:t>
            </w:r>
            <w:r w:rsidR="00A83C54" w:rsidRPr="00AE2502">
              <w:rPr>
                <w:rFonts w:ascii="华文楷体" w:eastAsia="华文楷体" w:hAnsi="华文楷体" w:hint="eastAsia"/>
              </w:rPr>
              <w:t>学科支撑（0.1）</w:t>
            </w:r>
          </w:p>
        </w:tc>
        <w:tc>
          <w:tcPr>
            <w:tcW w:w="4486" w:type="dxa"/>
          </w:tcPr>
          <w:p w:rsidR="0051454E" w:rsidRPr="00AE2502" w:rsidRDefault="0051454E" w:rsidP="00AE2502">
            <w:pPr>
              <w:pStyle w:val="Default"/>
              <w:rPr>
                <w:rFonts w:ascii="华文楷体" w:eastAsia="华文楷体" w:hAnsi="华文楷体"/>
                <w:color w:val="auto"/>
                <w:sz w:val="21"/>
                <w:szCs w:val="21"/>
              </w:rPr>
            </w:pPr>
            <w:r w:rsidRPr="00AE2502">
              <w:rPr>
                <w:rFonts w:ascii="华文楷体" w:eastAsia="华文楷体" w:hAnsi="华文楷体" w:hint="eastAsia"/>
                <w:color w:val="auto"/>
                <w:sz w:val="21"/>
                <w:szCs w:val="21"/>
              </w:rPr>
              <w:t xml:space="preserve">所在学科对专业的支撑与贡献符合专业人才培养的定位与要求。 </w:t>
            </w:r>
          </w:p>
          <w:p w:rsidR="00A83C54" w:rsidRPr="00AE2502" w:rsidRDefault="00A83C54" w:rsidP="00AE2502">
            <w:pPr>
              <w:jc w:val="left"/>
              <w:rPr>
                <w:rFonts w:ascii="华文楷体" w:eastAsia="华文楷体" w:hAnsi="华文楷体"/>
                <w:szCs w:val="21"/>
              </w:rPr>
            </w:pP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7.6</w:t>
            </w:r>
            <w:r w:rsidR="00A83C54" w:rsidRPr="00AE2502">
              <w:rPr>
                <w:rFonts w:ascii="华文楷体" w:eastAsia="华文楷体" w:hAnsi="华文楷体" w:hint="eastAsia"/>
              </w:rPr>
              <w:t>日常管理（0.2）</w:t>
            </w:r>
          </w:p>
        </w:tc>
        <w:tc>
          <w:tcPr>
            <w:tcW w:w="4486" w:type="dxa"/>
          </w:tcPr>
          <w:p w:rsidR="00A83C54" w:rsidRPr="00AE2502" w:rsidRDefault="0051454E" w:rsidP="00AE2502">
            <w:pPr>
              <w:jc w:val="left"/>
              <w:rPr>
                <w:rFonts w:ascii="华文楷体" w:eastAsia="华文楷体" w:hAnsi="华文楷体"/>
                <w:szCs w:val="21"/>
              </w:rPr>
            </w:pPr>
            <w:r w:rsidRPr="00AE2502">
              <w:rPr>
                <w:rFonts w:ascii="华文楷体" w:eastAsia="华文楷体" w:hAnsi="华文楷体" w:hint="eastAsia"/>
                <w:szCs w:val="21"/>
              </w:rPr>
              <w:t>教学工作制度健全、流程规范、档案齐全</w:t>
            </w:r>
          </w:p>
        </w:tc>
      </w:tr>
      <w:tr w:rsidR="00AE2502" w:rsidRPr="00AE2502" w:rsidTr="00AE2502">
        <w:trPr>
          <w:trHeight w:val="335"/>
        </w:trPr>
        <w:tc>
          <w:tcPr>
            <w:tcW w:w="4261" w:type="dxa"/>
            <w:vMerge w:val="restart"/>
            <w:vAlign w:val="center"/>
          </w:tcPr>
          <w:p w:rsidR="00A83C54" w:rsidRPr="00AE2502" w:rsidRDefault="00A83C54" w:rsidP="00D74714">
            <w:pPr>
              <w:jc w:val="center"/>
              <w:rPr>
                <w:rFonts w:ascii="华文楷体" w:eastAsia="华文楷体" w:hAnsi="华文楷体"/>
              </w:rPr>
            </w:pPr>
            <w:r w:rsidRPr="00AE2502">
              <w:rPr>
                <w:rFonts w:ascii="华文楷体" w:eastAsia="华文楷体" w:hAnsi="华文楷体" w:hint="eastAsia"/>
              </w:rPr>
              <w:t>8.质量保障与持续改进（15）</w:t>
            </w: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8.1</w:t>
            </w:r>
            <w:r w:rsidR="00A83C54" w:rsidRPr="00AE2502">
              <w:rPr>
                <w:rFonts w:ascii="华文楷体" w:eastAsia="华文楷体" w:hAnsi="华文楷体" w:hint="eastAsia"/>
              </w:rPr>
              <w:t>质量监控（0.4）</w:t>
            </w:r>
          </w:p>
        </w:tc>
        <w:tc>
          <w:tcPr>
            <w:tcW w:w="4486" w:type="dxa"/>
          </w:tcPr>
          <w:p w:rsidR="00A83C54" w:rsidRPr="00AE2502" w:rsidRDefault="0051454E" w:rsidP="00AE2502">
            <w:pPr>
              <w:pStyle w:val="Default"/>
              <w:rPr>
                <w:rFonts w:ascii="华文楷体" w:eastAsia="华文楷体" w:hAnsi="华文楷体"/>
                <w:color w:val="auto"/>
                <w:szCs w:val="21"/>
              </w:rPr>
            </w:pPr>
            <w:r w:rsidRPr="00AE2502">
              <w:rPr>
                <w:rFonts w:ascii="华文楷体" w:eastAsia="华文楷体" w:hAnsi="华文楷体" w:hint="eastAsia"/>
                <w:color w:val="auto"/>
                <w:sz w:val="21"/>
                <w:szCs w:val="21"/>
              </w:rPr>
              <w:t>专业建有内部质量监控机制，对各教学环节有明确的质量要求，能够据此实施过程监控和定期质量评价。</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8.2</w:t>
            </w:r>
            <w:r w:rsidR="00A83C54" w:rsidRPr="00AE2502">
              <w:rPr>
                <w:rFonts w:ascii="华文楷体" w:eastAsia="华文楷体" w:hAnsi="华文楷体" w:hint="eastAsia"/>
              </w:rPr>
              <w:t>跟踪评价（0.3）</w:t>
            </w:r>
          </w:p>
        </w:tc>
        <w:tc>
          <w:tcPr>
            <w:tcW w:w="4486" w:type="dxa"/>
          </w:tcPr>
          <w:p w:rsidR="00A83C54" w:rsidRPr="00AE2502" w:rsidRDefault="0051454E" w:rsidP="00AE2502">
            <w:pPr>
              <w:pStyle w:val="Default"/>
              <w:rPr>
                <w:rFonts w:ascii="华文楷体" w:eastAsia="华文楷体" w:hAnsi="华文楷体"/>
                <w:color w:val="auto"/>
                <w:szCs w:val="21"/>
              </w:rPr>
            </w:pPr>
            <w:r w:rsidRPr="00AE2502">
              <w:rPr>
                <w:rFonts w:ascii="华文楷体" w:eastAsia="华文楷体" w:hAnsi="华文楷体" w:hint="eastAsia"/>
                <w:color w:val="auto"/>
                <w:sz w:val="21"/>
                <w:szCs w:val="21"/>
              </w:rPr>
              <w:t xml:space="preserve">专业建有毕业生跟踪反馈、用人单位满意度调查等外部评价机制，定期对专业办学条件和人才培养质量进行评价。 </w:t>
            </w:r>
          </w:p>
        </w:tc>
      </w:tr>
      <w:tr w:rsidR="00AE2502" w:rsidRPr="00AE2502" w:rsidTr="00AE2502">
        <w:trPr>
          <w:trHeight w:val="335"/>
        </w:trPr>
        <w:tc>
          <w:tcPr>
            <w:tcW w:w="4261" w:type="dxa"/>
            <w:vMerge/>
            <w:vAlign w:val="center"/>
          </w:tcPr>
          <w:p w:rsidR="00A83C54" w:rsidRPr="00AE2502" w:rsidRDefault="00A83C54" w:rsidP="00D74714">
            <w:pPr>
              <w:jc w:val="center"/>
              <w:rPr>
                <w:rFonts w:ascii="华文楷体" w:eastAsia="华文楷体" w:hAnsi="华文楷体"/>
              </w:rPr>
            </w:pPr>
          </w:p>
        </w:tc>
        <w:tc>
          <w:tcPr>
            <w:tcW w:w="4261" w:type="dxa"/>
            <w:vAlign w:val="center"/>
          </w:tcPr>
          <w:p w:rsidR="00A83C54" w:rsidRPr="00AE2502" w:rsidRDefault="00334C17" w:rsidP="00D74714">
            <w:pPr>
              <w:jc w:val="left"/>
              <w:rPr>
                <w:rFonts w:ascii="华文楷体" w:eastAsia="华文楷体" w:hAnsi="华文楷体"/>
              </w:rPr>
            </w:pPr>
            <w:r>
              <w:rPr>
                <w:rFonts w:ascii="华文楷体" w:eastAsia="华文楷体" w:hAnsi="华文楷体" w:hint="eastAsia"/>
              </w:rPr>
              <w:t>8.3</w:t>
            </w:r>
            <w:r w:rsidR="00A83C54" w:rsidRPr="00AE2502">
              <w:rPr>
                <w:rFonts w:ascii="华文楷体" w:eastAsia="华文楷体" w:hAnsi="华文楷体" w:hint="eastAsia"/>
              </w:rPr>
              <w:t>持续改进（0.3）</w:t>
            </w:r>
          </w:p>
        </w:tc>
        <w:tc>
          <w:tcPr>
            <w:tcW w:w="4486" w:type="dxa"/>
          </w:tcPr>
          <w:p w:rsidR="00A83C54" w:rsidRPr="00AE2502" w:rsidRDefault="0051454E" w:rsidP="00AE2502">
            <w:pPr>
              <w:pStyle w:val="Default"/>
              <w:rPr>
                <w:rFonts w:ascii="华文楷体" w:eastAsia="华文楷体" w:hAnsi="华文楷体"/>
                <w:color w:val="auto"/>
                <w:szCs w:val="21"/>
              </w:rPr>
            </w:pPr>
            <w:r w:rsidRPr="00AE2502">
              <w:rPr>
                <w:rFonts w:ascii="华文楷体" w:eastAsia="华文楷体" w:hAnsi="华文楷体" w:hint="eastAsia"/>
                <w:color w:val="auto"/>
                <w:sz w:val="21"/>
                <w:szCs w:val="21"/>
              </w:rPr>
              <w:t>能证明评价的结果被用于专业的持续改进。</w:t>
            </w:r>
          </w:p>
        </w:tc>
      </w:tr>
      <w:tr w:rsidR="00AE2502" w:rsidRPr="00AE2502" w:rsidTr="00AE2502">
        <w:trPr>
          <w:trHeight w:val="335"/>
        </w:trPr>
        <w:tc>
          <w:tcPr>
            <w:tcW w:w="4261" w:type="dxa"/>
            <w:vAlign w:val="center"/>
          </w:tcPr>
          <w:p w:rsidR="00E152EC" w:rsidRPr="00AE2502" w:rsidRDefault="00E152EC" w:rsidP="00D74714">
            <w:pPr>
              <w:ind w:firstLineChars="350" w:firstLine="735"/>
              <w:rPr>
                <w:rFonts w:ascii="华文楷体" w:eastAsia="华文楷体" w:hAnsi="华文楷体"/>
              </w:rPr>
            </w:pPr>
            <w:r w:rsidRPr="00AE2502">
              <w:rPr>
                <w:rFonts w:ascii="华文楷体" w:eastAsia="华文楷体" w:hAnsi="华文楷体" w:hint="eastAsia"/>
              </w:rPr>
              <w:t>9.专业特色与特色项目（7）</w:t>
            </w:r>
          </w:p>
        </w:tc>
        <w:tc>
          <w:tcPr>
            <w:tcW w:w="8747" w:type="dxa"/>
            <w:gridSpan w:val="2"/>
            <w:vAlign w:val="center"/>
          </w:tcPr>
          <w:p w:rsidR="00E152EC" w:rsidRPr="00AE2502" w:rsidRDefault="00E152EC" w:rsidP="00D74714">
            <w:pPr>
              <w:jc w:val="left"/>
              <w:rPr>
                <w:rFonts w:ascii="华文楷体" w:eastAsia="华文楷体" w:hAnsi="华文楷体"/>
              </w:rPr>
            </w:pPr>
            <w:r w:rsidRPr="00AE2502">
              <w:rPr>
                <w:rFonts w:ascii="华文楷体" w:eastAsia="华文楷体" w:hAnsi="华文楷体" w:hint="eastAsia"/>
              </w:rPr>
              <w:t>本专业在专业设置、服务面向、培养模式等方面形成的特色或以上指标不能完全覆盖的特色项目</w:t>
            </w:r>
          </w:p>
        </w:tc>
      </w:tr>
    </w:tbl>
    <w:p w:rsidR="00866705" w:rsidRPr="00A83C54" w:rsidRDefault="00866705"/>
    <w:sectPr w:rsidR="00866705" w:rsidRPr="00A83C54" w:rsidSect="00A83C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A8" w:rsidRDefault="004200A8" w:rsidP="00A83C54">
      <w:r>
        <w:separator/>
      </w:r>
    </w:p>
  </w:endnote>
  <w:endnote w:type="continuationSeparator" w:id="0">
    <w:p w:rsidR="004200A8" w:rsidRDefault="004200A8" w:rsidP="00A8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A8" w:rsidRDefault="004200A8" w:rsidP="00A83C54">
      <w:r>
        <w:separator/>
      </w:r>
    </w:p>
  </w:footnote>
  <w:footnote w:type="continuationSeparator" w:id="0">
    <w:p w:rsidR="004200A8" w:rsidRDefault="004200A8" w:rsidP="00A8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AA"/>
    <w:rsid w:val="00002F50"/>
    <w:rsid w:val="00100615"/>
    <w:rsid w:val="00273A6D"/>
    <w:rsid w:val="00334C17"/>
    <w:rsid w:val="004200A8"/>
    <w:rsid w:val="004D363E"/>
    <w:rsid w:val="0051454E"/>
    <w:rsid w:val="00587E42"/>
    <w:rsid w:val="005C40B5"/>
    <w:rsid w:val="006D7769"/>
    <w:rsid w:val="007043E6"/>
    <w:rsid w:val="00755D24"/>
    <w:rsid w:val="00780748"/>
    <w:rsid w:val="007A1ACF"/>
    <w:rsid w:val="007D72B3"/>
    <w:rsid w:val="00863ABC"/>
    <w:rsid w:val="00866705"/>
    <w:rsid w:val="00973070"/>
    <w:rsid w:val="00A54E88"/>
    <w:rsid w:val="00A83C54"/>
    <w:rsid w:val="00A86C4C"/>
    <w:rsid w:val="00AE2502"/>
    <w:rsid w:val="00B823AA"/>
    <w:rsid w:val="00D52C59"/>
    <w:rsid w:val="00E152EC"/>
    <w:rsid w:val="00E67CB0"/>
    <w:rsid w:val="00EB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C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3C54"/>
    <w:rPr>
      <w:sz w:val="18"/>
      <w:szCs w:val="18"/>
    </w:rPr>
  </w:style>
  <w:style w:type="paragraph" w:styleId="a4">
    <w:name w:val="footer"/>
    <w:basedOn w:val="a"/>
    <w:link w:val="Char0"/>
    <w:uiPriority w:val="99"/>
    <w:unhideWhenUsed/>
    <w:rsid w:val="00A83C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3C54"/>
    <w:rPr>
      <w:sz w:val="18"/>
      <w:szCs w:val="18"/>
    </w:rPr>
  </w:style>
  <w:style w:type="table" w:styleId="a5">
    <w:name w:val="Table Grid"/>
    <w:basedOn w:val="a1"/>
    <w:uiPriority w:val="59"/>
    <w:rsid w:val="00A8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63E"/>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C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3C54"/>
    <w:rPr>
      <w:sz w:val="18"/>
      <w:szCs w:val="18"/>
    </w:rPr>
  </w:style>
  <w:style w:type="paragraph" w:styleId="a4">
    <w:name w:val="footer"/>
    <w:basedOn w:val="a"/>
    <w:link w:val="Char0"/>
    <w:uiPriority w:val="99"/>
    <w:unhideWhenUsed/>
    <w:rsid w:val="00A83C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3C54"/>
    <w:rPr>
      <w:sz w:val="18"/>
      <w:szCs w:val="18"/>
    </w:rPr>
  </w:style>
  <w:style w:type="table" w:styleId="a5">
    <w:name w:val="Table Grid"/>
    <w:basedOn w:val="a1"/>
    <w:uiPriority w:val="59"/>
    <w:rsid w:val="00A8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63E"/>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cueb</dc:creator>
  <cp:keywords/>
  <dc:description/>
  <cp:lastModifiedBy>Owner</cp:lastModifiedBy>
  <cp:revision>16</cp:revision>
  <dcterms:created xsi:type="dcterms:W3CDTF">2017-10-16T02:57:00Z</dcterms:created>
  <dcterms:modified xsi:type="dcterms:W3CDTF">2017-11-06T01:30:00Z</dcterms:modified>
</cp:coreProperties>
</file>