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40" w:lineRule="exact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</w:p>
    <w:p>
      <w:pPr>
        <w:spacing w:line="540" w:lineRule="exact"/>
        <w:jc w:val="center"/>
        <w:rPr>
          <w:rFonts w:hint="eastAsia" w:ascii="华文中宋" w:hAnsi="华文中宋" w:eastAsia="华文中宋" w:cs="华文中宋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北京市社会科学基金项目立项须知</w:t>
      </w:r>
    </w:p>
    <w:p>
      <w:pPr>
        <w:spacing w:line="540" w:lineRule="exact"/>
        <w:jc w:val="center"/>
        <w:rPr>
          <w:rFonts w:ascii="宋体" w:hAnsi="宋体" w:eastAsia="宋体"/>
          <w:b/>
          <w:sz w:val="30"/>
          <w:szCs w:val="30"/>
        </w:rPr>
      </w:pP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项目负责人须认真阅读《北京市社会科学基金项目立项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须知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》内容，并将相关要求向课题组全体成员进行传达，承诺严格执行约定的责任与义务。同意以下约定内容的，请认真填写《北京市社会科学基金项目立项回执》；如不接受约定，可不填写《立项回执》，视为自动放弃立项资助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Calibri" w:eastAsia="仿宋_GB2312" w:cs="Times New Roman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科学编制经费预算和合理使用经费。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要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认真了解和严格执行《北京市社会科学基金项目资金管理办法》有关规定，从项目研究的实际需要出发，科学编制经费预算。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bCs/>
          <w:sz w:val="32"/>
          <w:szCs w:val="32"/>
        </w:rPr>
        <w:t>项目资金分为直接费用和间接费用，</w:t>
      </w:r>
      <w:r>
        <w:rPr>
          <w:rFonts w:hint="eastAsia" w:ascii="仿宋_GB2312" w:hAnsi="Calibri" w:eastAsia="仿宋_GB2312" w:cs="Times New Roman"/>
          <w:b/>
          <w:bCs w:val="0"/>
          <w:sz w:val="32"/>
          <w:szCs w:val="32"/>
        </w:rPr>
        <w:t>间接费用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由责任单位按照《</w:t>
      </w:r>
      <w:r>
        <w:rPr>
          <w:rFonts w:hint="eastAsia" w:ascii="仿宋_GB2312" w:eastAsia="仿宋_GB2312" w:cs="Times New Roman"/>
          <w:bCs/>
          <w:sz w:val="32"/>
          <w:szCs w:val="32"/>
          <w:lang w:eastAsia="zh-CN"/>
        </w:rPr>
        <w:t>北京市社会科学基金项目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资金管理办法》的有关规定核定，统筹管理使用；项目负责人主要根据研究需要，编制</w:t>
      </w:r>
      <w:r>
        <w:rPr>
          <w:rFonts w:hint="eastAsia" w:ascii="仿宋_GB2312" w:hAnsi="Calibri" w:eastAsia="仿宋_GB2312" w:cs="Times New Roman"/>
          <w:b/>
          <w:bCs w:val="0"/>
          <w:sz w:val="32"/>
          <w:szCs w:val="32"/>
        </w:rPr>
        <w:t>直接费用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预算，编制预算时，</w:t>
      </w:r>
      <w:r>
        <w:rPr>
          <w:rFonts w:hint="eastAsia" w:ascii="仿宋_GB2312" w:hAnsi="Calibri" w:eastAsia="仿宋_GB2312" w:cs="Times New Roman"/>
          <w:bCs/>
          <w:color w:val="auto"/>
          <w:sz w:val="32"/>
          <w:szCs w:val="32"/>
        </w:rPr>
        <w:t>不考虑不可预见因素、前期投入、预留资金及配套经费，</w:t>
      </w:r>
      <w:r>
        <w:rPr>
          <w:rFonts w:hint="eastAsia" w:ascii="仿宋_GB2312" w:hAnsi="Calibri" w:eastAsia="仿宋_GB2312" w:cs="Times New Roman"/>
          <w:b w:val="0"/>
          <w:bCs/>
          <w:color w:val="auto"/>
          <w:sz w:val="32"/>
          <w:szCs w:val="32"/>
        </w:rPr>
        <w:t>各项开支科目均不设比例限制。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Calibri" w:eastAsia="仿宋_GB2312" w:cs="Times New Roman"/>
          <w:bCs/>
          <w:sz w:val="32"/>
          <w:szCs w:val="32"/>
        </w:rPr>
        <w:t>在项目研究过程中，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直接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费用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的预算调剂由项目负责人提出申请，报项目承担单位审批，验收结项时报市社科联、市社科规划办备案。未在预算中列支的外拨资金原则上不予增列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2.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及时启动项目研究工作。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项目负责人须于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三个月内（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20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20年3月15日前）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，召集课题组全体成员举行开题论证会。重大项目和重点项目必须组织开题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（其他项目建议召开）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，开题论证会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须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邀请课题组以外的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本研究领域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正高级职称的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专家学者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3—5人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参加，进一步明确目标任务、研究思路和责任分工。开题论证会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后填写</w:t>
      </w:r>
      <w:r>
        <w:rPr>
          <w:rFonts w:hint="eastAsia" w:ascii="仿宋_GB2312" w:hAnsi="宋体" w:eastAsia="仿宋_GB2312" w:cs="Times New Roman"/>
          <w:b w:val="0"/>
          <w:bCs/>
          <w:sz w:val="32"/>
          <w:szCs w:val="32"/>
          <w:lang w:eastAsia="zh-CN"/>
        </w:rPr>
        <w:t>《北京市社会科学基金项目开题报告表》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，及时报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我单位规划项目部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备案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作为拨款依据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。逾期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未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组织开题的，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项目资助经费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将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予以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缓拨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楷体_GB2312" w:hAnsi="宋体" w:eastAsia="楷体_GB2312" w:cs="Times New Roman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及时报送项目阶段性研究成果。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课题组要及时报送重要阶段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性成果，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将通过北京社科基金项目《成果要报》、“北京社科”网站和《北京社科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联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》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（内刊）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等媒介予以宣传推介（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lang w:eastAsia="zh-CN"/>
        </w:rPr>
        <w:t>投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稿邮箱：</w:t>
      </w:r>
      <w:r>
        <w:rPr>
          <w:rFonts w:hint="default" w:ascii="宋体" w:hAnsi="宋体"/>
          <w:b/>
          <w:bCs/>
          <w:sz w:val="32"/>
          <w:szCs w:val="32"/>
        </w:rPr>
        <w:t>dyxcb@bjsk.org.cn</w:t>
      </w:r>
      <w:r>
        <w:rPr>
          <w:rFonts w:ascii="仿宋_GB2312" w:hAnsi="宋体" w:eastAsia="仿宋_GB2312" w:cs="Times New Roman"/>
          <w:b/>
          <w:bCs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。</w:t>
      </w: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关于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重要事项变更审批手续。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课题组应遵循《申请书》的承诺，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按照预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定研究内容、研究计划、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完成时间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和最终成果形式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开展研究工作，保证项目研究质量。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因故确需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变更项目负责人和责任单位、调整研究内容或研究计划、更改最终研究成果形式、延长项目完成时间、终止项目研究协议等，项目负责人须填写《北京市社会科学基金项目重要事项变更审批表》，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lang w:eastAsia="zh-CN"/>
        </w:rPr>
        <w:t>按照管理权限报责任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单位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lang w:eastAsia="zh-CN"/>
        </w:rPr>
        <w:t>或我单位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审批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  <w:lang w:eastAsia="zh-CN"/>
        </w:rPr>
        <w:t>、备案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highlight w:val="none"/>
        </w:rPr>
        <w:t>。</w:t>
      </w: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</w:rPr>
        <w:t>因特殊原因确需延期的，须在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  <w:lang w:eastAsia="zh-CN"/>
        </w:rPr>
        <w:t>研究期满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</w:rPr>
        <w:t>前</w:t>
      </w:r>
      <w:r>
        <w:rPr>
          <w:rFonts w:ascii="仿宋_GB2312" w:hAnsi="宋体" w:eastAsia="仿宋_GB2312" w:cs="Times New Roman"/>
          <w:b/>
          <w:bCs w:val="0"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</w:rPr>
        <w:t>个月提出申请，每个项目只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  <w:lang w:eastAsia="zh-CN"/>
        </w:rPr>
        <w:t>能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</w:rPr>
        <w:t>延期一次，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  <w:lang w:eastAsia="zh-CN"/>
        </w:rPr>
        <w:t>延期时间不得超过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  <w:lang w:val="en-US" w:eastAsia="zh-CN"/>
        </w:rPr>
        <w:t>1年。</w:t>
      </w:r>
      <w:r>
        <w:rPr>
          <w:rFonts w:hint="eastAsia" w:ascii="仿宋_GB2312" w:hAnsi="宋体" w:eastAsia="仿宋_GB2312" w:cs="Times New Roman"/>
          <w:b/>
          <w:bCs w:val="0"/>
          <w:color w:val="auto"/>
          <w:sz w:val="32"/>
          <w:szCs w:val="32"/>
        </w:rPr>
        <w:t>逾期仍不能完成的，将作终止或撤项处理。</w:t>
      </w:r>
    </w:p>
    <w:p>
      <w:pPr>
        <w:wordWrap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关于成果免于鉴定的规定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。</w:t>
      </w:r>
      <w:r>
        <w:rPr>
          <w:rFonts w:hint="eastAsia" w:ascii="仿宋_GB2312" w:hAnsi="宋体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  <w:t>项目在完成研究目标和研究计划的基础上，研究成果（含阶段性成果）得到转化应用的（符合下列条件之一），可申请成果免于鉴定结项。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630" w:firstLineChars="196"/>
        <w:jc w:val="both"/>
        <w:textAlignment w:val="baseline"/>
        <w:outlineLvl w:val="9"/>
        <w:rPr>
          <w:rFonts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重大项目（符合下列条件之一即可）：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研究成果获得省部级二等奖以上奖项；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研究成果得到中央和国家领导人肯定性批示，或2篇研究成果得到省部级领导肯定性批示；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研究成果提出的理论观点或政策建议被省部级以上党政机关采纳；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（四）经北京市习近平新时代中国特色社会主义思想研究中心同意，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在《人民日报》《光明日报》《经济日报》《求是》（以下简称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中央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“三报一刊”），以“北京市习近平新时代中国特色社会主义思想研究中心”署名发表2篇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字以上理论文章；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在《北京日报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发表3篇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字以上的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理论或学术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文章；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研究成果在《中国社会科学》发表或被《新华文摘》全文转载2篇以上；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研究成果被北京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社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科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学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基金项目《成果要报》（以下简称《成果要报》）采用3篇。</w:t>
      </w:r>
    </w:p>
    <w:p>
      <w:pPr>
        <w:wordWrap/>
        <w:adjustRightInd/>
        <w:snapToGrid/>
        <w:spacing w:before="0" w:after="0" w:line="560" w:lineRule="exact"/>
        <w:ind w:left="0" w:leftChars="0" w:right="0" w:firstLine="643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</w:rPr>
        <w:t>重点项目、一般项目和青年项目（符合下列条件之一即可）：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研究成果获得省部级以上奖项；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研究成果得到省部级以上领导肯定性批示;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研究成果提出的理论观点或政策建议被厅局级以上党政机关采纳；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（四）经北京市习近平新时代中国特色社会主义思想研究中心同意，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中央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“三报一刊”以“北京市习近平新时代中国特色社会主义思想研究中心”署名发表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字以上理论文章；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重点项目在《北京日报》发表2篇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字以上的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理论或学术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文章，一般项目和青年项目在《北京日报》发表1篇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2000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字以上的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理论或学术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文章；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outlineLvl w:val="9"/>
        <w:rPr>
          <w:rFonts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研究成果在《中国社会科学》发表或被《新华文摘》全文转载；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baseline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（七）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重点项目研究成果被《成果要报》采用2篇，一般项目、青年项目研究成果被《成果要报》采用1篇。</w:t>
      </w:r>
    </w:p>
    <w:p>
      <w:pPr>
        <w:widowControl/>
        <w:wordWrap/>
        <w:adjustRightInd/>
        <w:snapToGrid/>
        <w:spacing w:before="0" w:after="0" w:line="560" w:lineRule="exact"/>
        <w:ind w:left="0" w:leftChars="0" w:right="0" w:firstLine="627" w:firstLineChars="196"/>
        <w:jc w:val="both"/>
        <w:textAlignment w:val="baseline"/>
        <w:outlineLvl w:val="9"/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申请免于鉴定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结项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的成果及证明材料须为项目在研期间产生且与项目主题密切相关。</w:t>
      </w:r>
    </w:p>
    <w:p>
      <w:pPr>
        <w:wordWrap/>
        <w:autoSpaceDE w:val="0"/>
        <w:autoSpaceDN w:val="0"/>
        <w:adjustRightInd w:val="0"/>
        <w:snapToGrid/>
        <w:spacing w:before="0" w:after="0" w:line="560" w:lineRule="exact"/>
        <w:ind w:left="0" w:leftChars="0" w:right="0" w:firstLine="608" w:firstLineChars="190"/>
        <w:jc w:val="both"/>
        <w:outlineLvl w:val="9"/>
        <w:rPr>
          <w:rFonts w:ascii="仿宋_GB2312" w:hAnsi="宋体" w:eastAsia="仿宋_GB2312" w:cs="Times New Roman"/>
          <w:b/>
          <w:bCs w:val="0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6.关于奖惩的规定。</w:t>
      </w:r>
      <w:r>
        <w:rPr>
          <w:rFonts w:hint="eastAsia" w:ascii="仿宋" w:hAnsi="仿宋" w:eastAsia="仿宋" w:cs="Times New Roman"/>
          <w:bCs/>
          <w:sz w:val="32"/>
          <w:szCs w:val="32"/>
        </w:rPr>
        <w:t>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目结项分为优秀、良好、合格等级</w:t>
      </w:r>
      <w:r>
        <w:rPr>
          <w:rFonts w:hint="eastAsia" w:ascii="仿宋_GB2312" w:hAnsi="宋体" w:eastAsia="仿宋_GB2312" w:cs="Times New Roman"/>
          <w:bCs/>
          <w:sz w:val="32"/>
          <w:szCs w:val="32"/>
          <w:lang w:eastAsia="zh-CN"/>
        </w:rPr>
        <w:t>和免于鉴定结项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kern w:val="0"/>
          <w:sz w:val="32"/>
          <w:szCs w:val="32"/>
          <w:highlight w:val="none"/>
          <w:lang w:val="zh-CN"/>
        </w:rPr>
        <w:t>承担的项目结项等级为“优秀”、研究成果入选北京市社会科学基金项目《成果要报》且获省部级以上领导批示、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  <w:t>研究成果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eastAsia="zh-CN"/>
        </w:rPr>
        <w:t>获北京市哲学社会科学优秀成果奖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  <w:lang w:eastAsia="zh-CN"/>
        </w:rPr>
        <w:t>的负责人</w:t>
      </w:r>
      <w:r>
        <w:rPr>
          <w:rFonts w:hint="eastAsia" w:ascii="仿宋_GB2312" w:hAnsi="宋体" w:eastAsia="仿宋_GB2312" w:cs="Times New Roman"/>
          <w:b w:val="0"/>
          <w:bCs/>
          <w:color w:val="auto"/>
          <w:sz w:val="32"/>
          <w:szCs w:val="32"/>
        </w:rPr>
        <w:t>，再次申报北京社科基金项目可不占本单位指标、不经过通讯评审，直接进入会议评审。</w:t>
      </w: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终止研究的项目，须退回未支出项目资金（没有阶段性研究成果的，须全额退回项目资金），项目负责人3年内不得申报北京社科基金项目，研究成果在后续出版、发表或内部印刷时，也不得标注“北京社科基金项目”字样。被撤销的项目，须全额退回项目资金，成果在后续出版、发表或内部印刷时，不得标注“北京社科基金项目”字样，项目负责人</w:t>
      </w:r>
      <w:r>
        <w:rPr>
          <w:rFonts w:ascii="仿宋_GB2312" w:hAnsi="宋体" w:eastAsia="仿宋_GB2312" w:cs="Times New Roman"/>
          <w:bCs/>
          <w:sz w:val="32"/>
          <w:szCs w:val="32"/>
        </w:rPr>
        <w:t>5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年内不得再次申报北京社科基金项目，也不得被聘为北京社科基金项目评审与成果鉴定专家。</w:t>
      </w: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0"/>
          <w:szCs w:val="30"/>
        </w:rPr>
      </w:pP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未尽事宜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须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按照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《北京市社会科学基金规划项目管理办法（试行）》《北京市社会科学基金项目资金管理办法》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《北京市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社会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科学基金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  <w:lang w:eastAsia="zh-CN"/>
        </w:rPr>
        <w:t>规划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项目成果规范细则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（</w:t>
      </w:r>
      <w:r>
        <w:rPr>
          <w:rFonts w:ascii="仿宋_GB2312" w:hAnsi="宋体" w:eastAsia="仿宋_GB2312" w:cs="Times New Roman"/>
          <w:bCs/>
          <w:color w:val="auto"/>
          <w:sz w:val="32"/>
          <w:szCs w:val="32"/>
        </w:rPr>
        <w:t>试行）》</w:t>
      </w:r>
      <w:r>
        <w:rPr>
          <w:rFonts w:hint="eastAsia" w:ascii="仿宋_GB2312" w:hAnsi="宋体" w:eastAsia="仿宋_GB2312" w:cs="Times New Roman"/>
          <w:bCs/>
          <w:color w:val="auto"/>
          <w:sz w:val="32"/>
          <w:szCs w:val="32"/>
        </w:rPr>
        <w:t>相关规</w:t>
      </w:r>
      <w:r>
        <w:rPr>
          <w:rFonts w:hint="eastAsia" w:ascii="仿宋_GB2312" w:hAnsi="宋体" w:eastAsia="仿宋_GB2312" w:cs="Times New Roman"/>
          <w:bCs/>
          <w:sz w:val="32"/>
          <w:szCs w:val="32"/>
        </w:rPr>
        <w:t>定</w:t>
      </w:r>
      <w:r>
        <w:rPr>
          <w:rFonts w:ascii="仿宋_GB2312" w:hAnsi="宋体" w:eastAsia="仿宋_GB2312" w:cs="Times New Roman"/>
          <w:bCs/>
          <w:sz w:val="32"/>
          <w:szCs w:val="32"/>
        </w:rPr>
        <w:t>执行。</w:t>
      </w:r>
    </w:p>
    <w:p>
      <w:pPr>
        <w:pStyle w:val="2"/>
        <w:widowControl w:val="0"/>
        <w:tabs>
          <w:tab w:val="left" w:pos="540"/>
        </w:tabs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outlineLvl w:val="9"/>
        <w:rPr>
          <w:rFonts w:ascii="仿宋_GB2312" w:hAnsi="宋体" w:eastAsia="仿宋_GB2312" w:cs="Times New Roman"/>
          <w:bCs/>
          <w:sz w:val="32"/>
          <w:szCs w:val="32"/>
        </w:rPr>
      </w:pPr>
    </w:p>
    <w:sectPr>
      <w:footerReference r:id="rId4" w:type="default"/>
      <w:pgSz w:w="11906" w:h="16838"/>
      <w:pgMar w:top="1134" w:right="1304" w:bottom="1134" w:left="1418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Plain Text"/>
    <w:basedOn w:val="1"/>
    <w:link w:val="11"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 Char"/>
    <w:basedOn w:val="7"/>
    <w:link w:val="5"/>
    <w:uiPriority w:val="99"/>
    <w:rPr>
      <w:sz w:val="18"/>
      <w:szCs w:val="18"/>
    </w:rPr>
  </w:style>
  <w:style w:type="character" w:customStyle="1" w:styleId="9">
    <w:name w:val="页脚 Char Char"/>
    <w:basedOn w:val="7"/>
    <w:link w:val="4"/>
    <w:uiPriority w:val="99"/>
    <w:rPr>
      <w:sz w:val="18"/>
      <w:szCs w:val="18"/>
    </w:rPr>
  </w:style>
  <w:style w:type="character" w:customStyle="1" w:styleId="10">
    <w:name w:val="日期 Char Char"/>
    <w:basedOn w:val="7"/>
    <w:link w:val="3"/>
    <w:uiPriority w:val="99"/>
    <w:rPr/>
  </w:style>
  <w:style w:type="character" w:customStyle="1" w:styleId="11">
    <w:name w:val="纯文本 Char Char"/>
    <w:basedOn w:val="7"/>
    <w:link w:val="2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496</Words>
  <Characters>2828</Characters>
  <Lines>23</Lines>
  <Paragraphs>6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2017-08-30T06:40:00Z</dcterms:created>
  <dc:creator>yy</dc:creator>
  <cp:lastModifiedBy>BJSK</cp:lastModifiedBy>
  <cp:lastPrinted>2017-08-31T03:46:00Z</cp:lastPrinted>
  <dcterms:modified xsi:type="dcterms:W3CDTF">2020-12-03T03:50:41Z</dcterms:modified>
  <dc:title>北京市社会科学基金项目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