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Title"/>
        <w:spacing w:line="204" w:lineRule="auto"/>
      </w:pPr>
      <w:r>
        <w:rPr>
          <w:spacing w:val="-8"/>
        </w:rPr>
        <w:t>2024</w:t>
      </w:r>
      <w:r>
        <w:rPr>
          <w:spacing w:val="-11"/>
        </w:rPr>
        <w:t> 年国家社会科学基金年度项目</w:t>
      </w:r>
      <w:r>
        <w:rPr>
          <w:spacing w:val="-4"/>
        </w:rPr>
        <w:t>申报问答</w:t>
      </w:r>
    </w:p>
    <w:p>
      <w:pPr>
        <w:pStyle w:val="Heading1"/>
        <w:numPr>
          <w:ilvl w:val="0"/>
          <w:numId w:val="1"/>
        </w:numPr>
        <w:tabs>
          <w:tab w:pos="983" w:val="left" w:leader="none"/>
        </w:tabs>
        <w:spacing w:line="252" w:lineRule="auto" w:before="598" w:after="0"/>
        <w:ind w:left="101" w:right="261" w:firstLine="638"/>
        <w:jc w:val="left"/>
      </w:pPr>
      <w:r>
        <w:rPr>
          <w:spacing w:val="-2"/>
        </w:rPr>
        <w:t>国家社会科学基金年度项目（</w:t>
      </w:r>
      <w:r>
        <w:rPr>
          <w:spacing w:val="-19"/>
        </w:rPr>
        <w:t>以下简称“年度项目”</w:t>
      </w:r>
      <w:r>
        <w:rPr>
          <w:spacing w:val="-8"/>
        </w:rPr>
        <w:t>）</w:t>
      </w:r>
      <w:r>
        <w:rPr>
          <w:spacing w:val="-2"/>
        </w:rPr>
        <w:t>包括哪些项目类别？</w:t>
      </w:r>
    </w:p>
    <w:p>
      <w:pPr>
        <w:pStyle w:val="BodyText"/>
        <w:spacing w:line="551" w:lineRule="exact" w:before="0"/>
        <w:ind w:left="740"/>
      </w:pPr>
      <w:r>
        <w:rPr>
          <w:rFonts w:ascii="Microsoft JhengHei" w:eastAsia="Microsoft JhengHei"/>
          <w:b/>
          <w:spacing w:val="-4"/>
        </w:rPr>
        <w:t>答：</w:t>
      </w:r>
      <w:r>
        <w:rPr>
          <w:spacing w:val="-5"/>
        </w:rPr>
        <w:t>包括一般项目、重点项目、青年项目和西部项目。</w:t>
      </w:r>
    </w:p>
    <w:p>
      <w:pPr>
        <w:pStyle w:val="Heading1"/>
        <w:numPr>
          <w:ilvl w:val="0"/>
          <w:numId w:val="1"/>
        </w:numPr>
        <w:tabs>
          <w:tab w:pos="979" w:val="left" w:leader="none"/>
        </w:tabs>
        <w:spacing w:line="240" w:lineRule="auto" w:before="27" w:after="0"/>
        <w:ind w:left="979" w:right="0" w:hanging="239"/>
        <w:jc w:val="left"/>
      </w:pPr>
      <w:r>
        <w:rPr>
          <w:spacing w:val="-3"/>
        </w:rPr>
        <w:t>各项目类别的定位和要求分别是什么？</w:t>
      </w:r>
    </w:p>
    <w:p>
      <w:pPr>
        <w:pStyle w:val="BodyText"/>
        <w:spacing w:before="26"/>
        <w:ind w:left="740"/>
      </w:pPr>
      <w:r>
        <w:rPr>
          <w:rFonts w:ascii="Microsoft JhengHei" w:eastAsia="Microsoft JhengHei"/>
          <w:b/>
          <w:spacing w:val="-4"/>
        </w:rPr>
        <w:t>答：</w:t>
      </w:r>
      <w:r>
        <w:rPr>
          <w:spacing w:val="-5"/>
        </w:rPr>
        <w:t>一般项目应立足各学科的历史、理论、方法和应用，</w:t>
      </w:r>
    </w:p>
    <w:p>
      <w:pPr>
        <w:pStyle w:val="BodyText"/>
        <w:spacing w:line="333" w:lineRule="auto"/>
        <w:ind w:right="259"/>
        <w:jc w:val="both"/>
      </w:pPr>
      <w:r>
        <w:rPr>
          <w:spacing w:val="-9"/>
        </w:rPr>
        <w:t>面向经济社会发展需求和学科建设与发展实际，体现申请人的</w:t>
      </w:r>
      <w:r>
        <w:rPr>
          <w:spacing w:val="-14"/>
        </w:rPr>
        <w:t>学术素养，围绕对于推进理论创新和学术创新具有支撑作用的一般性基础问题、对于推动经济社会发展实践具有指导意义的</w:t>
      </w:r>
      <w:r>
        <w:rPr>
          <w:spacing w:val="-2"/>
        </w:rPr>
        <w:t>专题性应用问题，开展具有学科视角的创新性研究。</w:t>
      </w:r>
    </w:p>
    <w:p>
      <w:pPr>
        <w:pStyle w:val="BodyText"/>
        <w:spacing w:line="333" w:lineRule="auto" w:before="5"/>
        <w:ind w:right="259" w:firstLine="638"/>
        <w:jc w:val="both"/>
      </w:pPr>
      <w:r>
        <w:rPr>
          <w:spacing w:val="-11"/>
        </w:rPr>
        <w:t>重点项目应围绕党和国家工作大局、经济社会发展重要理</w:t>
      </w:r>
      <w:r>
        <w:rPr>
          <w:spacing w:val="-14"/>
        </w:rPr>
        <w:t>论和实践问题、哲学社会科学重要基础和前沿问题开展原创性</w:t>
      </w:r>
      <w:r>
        <w:rPr>
          <w:spacing w:val="-6"/>
        </w:rPr>
        <w:t>研究，鼓励学科交叉。申请人应具有较好的前期研究基础，预</w:t>
      </w:r>
      <w:r>
        <w:rPr>
          <w:spacing w:val="-2"/>
        </w:rPr>
        <w:t>期成果体量和质量应高于一般项目。</w:t>
      </w:r>
    </w:p>
    <w:p>
      <w:pPr>
        <w:pStyle w:val="BodyText"/>
        <w:spacing w:line="336" w:lineRule="auto" w:before="8"/>
        <w:ind w:right="261" w:firstLine="638"/>
      </w:pPr>
      <w:r>
        <w:rPr>
          <w:spacing w:val="-9"/>
        </w:rPr>
        <w:t>青年项目旨在加强对青年人才的扶持和培养，发挥青年学</w:t>
      </w:r>
      <w:r>
        <w:rPr>
          <w:spacing w:val="-2"/>
        </w:rPr>
        <w:t>者优势，推进知识创新、理论创新、方法创新和应用创新。</w:t>
      </w:r>
    </w:p>
    <w:p>
      <w:pPr>
        <w:pStyle w:val="BodyText"/>
        <w:spacing w:line="336" w:lineRule="auto" w:before="0"/>
        <w:ind w:right="259" w:firstLine="638"/>
        <w:jc w:val="both"/>
      </w:pPr>
      <w:r>
        <w:rPr>
          <w:spacing w:val="-11"/>
        </w:rPr>
        <w:t>西部项目立足西部地区实际和优势，资助推进西部地区经</w:t>
      </w:r>
      <w:r>
        <w:rPr>
          <w:spacing w:val="-6"/>
        </w:rPr>
        <w:t>济持续健康发展、社会和谐稳定，促进民族团结、维护祖国统</w:t>
      </w:r>
      <w:r>
        <w:rPr>
          <w:spacing w:val="-9"/>
        </w:rPr>
        <w:t>一，弘扬民族优秀文化、保护民间文化遗产，开展周边毗邻区</w:t>
      </w:r>
    </w:p>
    <w:p>
      <w:pPr>
        <w:spacing w:after="0" w:line="336" w:lineRule="auto"/>
        <w:jc w:val="both"/>
        <w:sectPr>
          <w:footerReference w:type="default" r:id="rId5"/>
          <w:type w:val="continuous"/>
          <w:pgSz w:w="11910" w:h="16840"/>
          <w:pgMar w:header="0" w:footer="1005" w:top="1920" w:bottom="1200" w:left="1600" w:right="1440"/>
          <w:pgNumType w:start="1"/>
        </w:sectPr>
      </w:pPr>
    </w:p>
    <w:p>
      <w:pPr>
        <w:pStyle w:val="BodyText"/>
        <w:spacing w:before="52"/>
        <w:ind w:left="0"/>
      </w:pPr>
    </w:p>
    <w:p>
      <w:pPr>
        <w:pStyle w:val="BodyText"/>
        <w:spacing w:line="336" w:lineRule="auto" w:before="0"/>
        <w:ind w:right="259"/>
      </w:pPr>
      <w:r>
        <w:rPr>
          <w:spacing w:val="-11"/>
        </w:rPr>
        <w:t>域国别研究等方面的课题，支持西部地区学科建设、人才培养</w:t>
      </w:r>
      <w:r>
        <w:rPr>
          <w:spacing w:val="-2"/>
        </w:rPr>
        <w:t>和科研能力提升。</w:t>
      </w:r>
    </w:p>
    <w:p>
      <w:pPr>
        <w:pStyle w:val="Heading1"/>
        <w:numPr>
          <w:ilvl w:val="0"/>
          <w:numId w:val="1"/>
        </w:numPr>
        <w:tabs>
          <w:tab w:pos="979" w:val="left" w:leader="none"/>
        </w:tabs>
        <w:spacing w:line="486" w:lineRule="exact" w:before="0" w:after="0"/>
        <w:ind w:left="979" w:right="0" w:hanging="239"/>
        <w:jc w:val="left"/>
      </w:pPr>
      <w:r>
        <w:rPr>
          <w:spacing w:val="-3"/>
        </w:rPr>
        <w:t>申报时间安排是怎样的？</w:t>
      </w:r>
    </w:p>
    <w:p>
      <w:pPr>
        <w:pStyle w:val="BodyText"/>
        <w:spacing w:before="25"/>
        <w:ind w:left="0" w:right="259"/>
        <w:jc w:val="right"/>
      </w:pPr>
      <w:r>
        <w:rPr>
          <w:rFonts w:ascii="Microsoft JhengHei" w:eastAsia="Microsoft JhengHei"/>
          <w:b/>
          <w:spacing w:val="-69"/>
        </w:rPr>
        <w:t>答：</w:t>
      </w:r>
      <w:r>
        <w:rPr>
          <w:spacing w:val="-7"/>
        </w:rPr>
        <w:t>年度项目的网络申报系统于 </w:t>
      </w:r>
      <w:r>
        <w:rPr>
          <w:rFonts w:ascii="Times New Roman" w:eastAsia="Times New Roman"/>
        </w:rPr>
        <w:t>2024</w:t>
      </w:r>
      <w:r>
        <w:rPr>
          <w:rFonts w:ascii="Times New Roman" w:eastAsia="Times New Roman"/>
          <w:spacing w:val="-20"/>
        </w:rPr>
        <w:t> </w:t>
      </w:r>
      <w:r>
        <w:rPr>
          <w:spacing w:val="-41"/>
        </w:rPr>
        <w:t>年 </w:t>
      </w:r>
      <w:r>
        <w:rPr>
          <w:rFonts w:ascii="Times New Roman" w:eastAsia="Times New Roman"/>
        </w:rPr>
        <w:t>4</w:t>
      </w:r>
      <w:r>
        <w:rPr>
          <w:rFonts w:ascii="Times New Roman" w:eastAsia="Times New Roman"/>
          <w:spacing w:val="-20"/>
        </w:rPr>
        <w:t> </w:t>
      </w:r>
      <w:r>
        <w:rPr>
          <w:spacing w:val="-40"/>
        </w:rPr>
        <w:t>月 </w:t>
      </w:r>
      <w:r>
        <w:rPr>
          <w:rFonts w:ascii="Times New Roman" w:eastAsia="Times New Roman"/>
        </w:rPr>
        <w:t>25</w:t>
      </w:r>
      <w:r>
        <w:rPr>
          <w:rFonts w:ascii="Times New Roman" w:eastAsia="Times New Roman"/>
          <w:spacing w:val="-19"/>
        </w:rPr>
        <w:t> </w:t>
      </w:r>
      <w:r>
        <w:rPr>
          <w:spacing w:val="-3"/>
        </w:rPr>
        <w:t>日零时开</w:t>
      </w:r>
    </w:p>
    <w:p>
      <w:pPr>
        <w:pStyle w:val="BodyText"/>
        <w:ind w:left="0" w:right="261"/>
        <w:jc w:val="right"/>
      </w:pPr>
      <w:r>
        <w:rPr>
          <w:spacing w:val="-17"/>
        </w:rPr>
        <w:t>放，个人申报时间截止到 </w:t>
      </w:r>
      <w:r>
        <w:rPr>
          <w:rFonts w:ascii="Times New Roman" w:eastAsia="Times New Roman"/>
          <w:spacing w:val="-2"/>
        </w:rPr>
        <w:t>5</w:t>
      </w:r>
      <w:r>
        <w:rPr>
          <w:rFonts w:ascii="Times New Roman" w:eastAsia="Times New Roman"/>
          <w:spacing w:val="-11"/>
        </w:rPr>
        <w:t> </w:t>
      </w:r>
      <w:r>
        <w:rPr>
          <w:spacing w:val="-41"/>
        </w:rPr>
        <w:t>月 </w:t>
      </w:r>
      <w:r>
        <w:rPr>
          <w:rFonts w:ascii="Times New Roman" w:eastAsia="Times New Roman"/>
          <w:spacing w:val="-2"/>
        </w:rPr>
        <w:t>19</w:t>
      </w:r>
      <w:r>
        <w:rPr>
          <w:rFonts w:ascii="Times New Roman" w:eastAsia="Times New Roman"/>
          <w:spacing w:val="-3"/>
        </w:rPr>
        <w:t> </w:t>
      </w:r>
      <w:r>
        <w:rPr>
          <w:spacing w:val="-42"/>
        </w:rPr>
        <w:t>日 </w:t>
      </w:r>
      <w:r>
        <w:rPr>
          <w:rFonts w:ascii="Times New Roman" w:eastAsia="Times New Roman"/>
          <w:spacing w:val="-2"/>
        </w:rPr>
        <w:t>17</w:t>
      </w:r>
      <w:r>
        <w:rPr>
          <w:rFonts w:ascii="Times New Roman" w:eastAsia="Times New Roman"/>
          <w:spacing w:val="-3"/>
        </w:rPr>
        <w:t> </w:t>
      </w:r>
      <w:r>
        <w:rPr>
          <w:spacing w:val="-11"/>
        </w:rPr>
        <w:t>时，省级管理单位审核</w:t>
      </w:r>
    </w:p>
    <w:p>
      <w:pPr>
        <w:pStyle w:val="BodyText"/>
        <w:spacing w:line="333" w:lineRule="auto" w:before="165"/>
        <w:ind w:right="261"/>
      </w:pPr>
      <w:r>
        <w:rPr>
          <w:spacing w:val="-14"/>
        </w:rPr>
        <w:t>时间截止到 </w:t>
      </w:r>
      <w:r>
        <w:rPr>
          <w:rFonts w:ascii="Times New Roman" w:eastAsia="Times New Roman"/>
        </w:rPr>
        <w:t>5</w:t>
      </w:r>
      <w:r>
        <w:rPr>
          <w:rFonts w:ascii="Times New Roman" w:eastAsia="Times New Roman"/>
          <w:spacing w:val="-20"/>
        </w:rPr>
        <w:t> </w:t>
      </w:r>
      <w:r>
        <w:rPr>
          <w:spacing w:val="-41"/>
        </w:rPr>
        <w:t>月 </w:t>
      </w:r>
      <w:r>
        <w:rPr>
          <w:rFonts w:ascii="Times New Roman" w:eastAsia="Times New Roman"/>
        </w:rPr>
        <w:t>27</w:t>
      </w:r>
      <w:r>
        <w:rPr>
          <w:rFonts w:ascii="Times New Roman" w:eastAsia="Times New Roman"/>
          <w:spacing w:val="-9"/>
        </w:rPr>
        <w:t> </w:t>
      </w:r>
      <w:r>
        <w:rPr>
          <w:spacing w:val="-40"/>
        </w:rPr>
        <w:t>日 </w:t>
      </w:r>
      <w:r>
        <w:rPr>
          <w:rFonts w:ascii="Times New Roman" w:eastAsia="Times New Roman"/>
        </w:rPr>
        <w:t>17</w:t>
      </w:r>
      <w:r>
        <w:rPr>
          <w:rFonts w:ascii="Times New Roman" w:eastAsia="Times New Roman"/>
          <w:spacing w:val="-8"/>
        </w:rPr>
        <w:t> </w:t>
      </w:r>
      <w:r>
        <w:rPr>
          <w:spacing w:val="-13"/>
        </w:rPr>
        <w:t>时，责任单位的材料审核时间由各省</w:t>
      </w:r>
      <w:r>
        <w:rPr>
          <w:spacing w:val="-2"/>
        </w:rPr>
        <w:t>级管理单位自行决定。</w:t>
      </w:r>
    </w:p>
    <w:p>
      <w:pPr>
        <w:pStyle w:val="Heading1"/>
        <w:numPr>
          <w:ilvl w:val="0"/>
          <w:numId w:val="1"/>
        </w:numPr>
        <w:tabs>
          <w:tab w:pos="979" w:val="left" w:leader="none"/>
        </w:tabs>
        <w:spacing w:line="492" w:lineRule="exact" w:before="0" w:after="0"/>
        <w:ind w:left="979" w:right="0" w:hanging="239"/>
        <w:jc w:val="left"/>
      </w:pPr>
      <w:r>
        <w:rPr>
          <w:spacing w:val="-3"/>
        </w:rPr>
        <w:t>年度项目是否发布课题指南？</w:t>
      </w:r>
    </w:p>
    <w:p>
      <w:pPr>
        <w:pStyle w:val="BodyText"/>
        <w:spacing w:line="280" w:lineRule="auto" w:before="25"/>
        <w:ind w:right="259" w:firstLine="638"/>
      </w:pPr>
      <w:r>
        <w:rPr>
          <w:rFonts w:ascii="Microsoft JhengHei" w:eastAsia="Microsoft JhengHei"/>
          <w:b/>
          <w:spacing w:val="-35"/>
        </w:rPr>
        <w:t>答：</w:t>
      </w:r>
      <w:r>
        <w:rPr>
          <w:spacing w:val="-6"/>
        </w:rPr>
        <w:t>本次申报只明确项目选题基本要求和引导方向，不发</w:t>
      </w:r>
      <w:r>
        <w:rPr>
          <w:spacing w:val="-15"/>
        </w:rPr>
        <w:t>布分学科具体课题指南。申请人可对照国家社科基金近年分学</w:t>
      </w:r>
    </w:p>
    <w:p>
      <w:pPr>
        <w:pStyle w:val="BodyText"/>
        <w:spacing w:line="333" w:lineRule="auto"/>
        <w:ind w:right="259"/>
        <w:jc w:val="both"/>
      </w:pPr>
      <w:r>
        <w:rPr>
          <w:spacing w:val="-13"/>
        </w:rPr>
        <w:t>科课题指南的导向、已立项课题和研究成果，对应各类项目定</w:t>
      </w:r>
      <w:r>
        <w:rPr>
          <w:spacing w:val="-15"/>
        </w:rPr>
        <w:t>位，着眼国家需求和学科发展，从学科视角按照选题规范自主</w:t>
      </w:r>
      <w:r>
        <w:rPr>
          <w:spacing w:val="-6"/>
        </w:rPr>
        <w:t>拟定题目申报，避免重复研究。题目表述要符合项目定位，突出问题导向、学科视角，科学严谨、简明规范，避免引起歧义</w:t>
      </w:r>
      <w:r>
        <w:rPr>
          <w:spacing w:val="-4"/>
        </w:rPr>
        <w:t>或争议。</w:t>
      </w:r>
    </w:p>
    <w:p>
      <w:pPr>
        <w:pStyle w:val="Heading1"/>
        <w:numPr>
          <w:ilvl w:val="0"/>
          <w:numId w:val="1"/>
        </w:numPr>
        <w:tabs>
          <w:tab w:pos="979" w:val="left" w:leader="none"/>
        </w:tabs>
        <w:spacing w:line="497" w:lineRule="exact" w:before="0" w:after="0"/>
        <w:ind w:left="979" w:right="0" w:hanging="239"/>
        <w:jc w:val="left"/>
      </w:pPr>
      <w:r>
        <w:rPr>
          <w:spacing w:val="-3"/>
        </w:rPr>
        <w:t>年度项目选题有哪些重点领域？</w:t>
      </w:r>
    </w:p>
    <w:p>
      <w:pPr>
        <w:pStyle w:val="BodyText"/>
        <w:spacing w:line="278" w:lineRule="auto" w:before="27"/>
        <w:ind w:right="259" w:firstLine="638"/>
      </w:pPr>
      <w:r>
        <w:rPr>
          <w:rFonts w:ascii="Microsoft JhengHei" w:eastAsia="Microsoft JhengHei"/>
          <w:b/>
          <w:spacing w:val="-6"/>
        </w:rPr>
        <w:t>答：</w:t>
      </w:r>
      <w:r>
        <w:rPr>
          <w:spacing w:val="-6"/>
        </w:rPr>
        <w:t>年度项目突出学科视角、自主拟定选题，鼓励申请人</w:t>
      </w:r>
      <w:r>
        <w:rPr>
          <w:spacing w:val="-1"/>
        </w:rPr>
        <w:t>围绕习近平新时代中国特色社会主义思想体系化学理化研究</w:t>
      </w:r>
    </w:p>
    <w:p>
      <w:pPr>
        <w:pStyle w:val="BodyText"/>
        <w:spacing w:line="333" w:lineRule="auto" w:before="100"/>
        <w:ind w:right="126"/>
      </w:pPr>
      <w:r>
        <w:rPr>
          <w:spacing w:val="-14"/>
        </w:rPr>
        <w:t>阐释、党的十八大以来的伟大成就伟大变革、中国式现代化进</w:t>
      </w:r>
      <w:r>
        <w:rPr>
          <w:spacing w:val="-13"/>
        </w:rPr>
        <w:t>程中的风险与挑战、中华民族现代文明建设、国家治理体系和</w:t>
      </w:r>
      <w:r>
        <w:rPr>
          <w:spacing w:val="-2"/>
        </w:rPr>
        <w:t>治理能力现代化、经济高质量发展、新质生产力、数智社会、</w:t>
      </w:r>
      <w:r>
        <w:rPr>
          <w:spacing w:val="-5"/>
        </w:rPr>
        <w:t>建设教育强国科技强国人才强国、铸牢中华民族共同体意识、</w:t>
      </w:r>
    </w:p>
    <w:p>
      <w:pPr>
        <w:spacing w:after="0" w:line="333" w:lineRule="auto"/>
        <w:sectPr>
          <w:pgSz w:w="11910" w:h="16840"/>
          <w:pgMar w:header="0" w:footer="1005" w:top="1920" w:bottom="1200" w:left="1600" w:right="1440"/>
        </w:sectPr>
      </w:pPr>
    </w:p>
    <w:p>
      <w:pPr>
        <w:pStyle w:val="BodyText"/>
        <w:spacing w:before="52"/>
        <w:ind w:left="0"/>
      </w:pPr>
    </w:p>
    <w:p>
      <w:pPr>
        <w:pStyle w:val="BodyText"/>
        <w:spacing w:line="333" w:lineRule="auto" w:before="0"/>
        <w:ind w:right="259"/>
        <w:jc w:val="both"/>
      </w:pPr>
      <w:r>
        <w:rPr>
          <w:spacing w:val="-10"/>
        </w:rPr>
        <w:t>国家安全体系和安全能力现代化、党的自我革命、文化遗产保</w:t>
      </w:r>
      <w:r>
        <w:rPr>
          <w:spacing w:val="-6"/>
        </w:rPr>
        <w:t>护传承、世界百年未有之大变局、中国特色大国外交、文明交</w:t>
      </w:r>
      <w:r>
        <w:rPr>
          <w:spacing w:val="-15"/>
        </w:rPr>
        <w:t>流互鉴、人类命运共同体构建等，开展具有学科视角的学术研究；同时鼓励围绕哲学社会科学各学科领域基础理论和前沿问</w:t>
      </w:r>
      <w:r>
        <w:rPr>
          <w:spacing w:val="-2"/>
        </w:rPr>
        <w:t>题、国际学术热点问题等方面开展深入研究。</w:t>
      </w:r>
    </w:p>
    <w:p>
      <w:pPr>
        <w:pStyle w:val="Heading1"/>
        <w:numPr>
          <w:ilvl w:val="0"/>
          <w:numId w:val="1"/>
        </w:numPr>
        <w:tabs>
          <w:tab w:pos="979" w:val="left" w:leader="none"/>
        </w:tabs>
        <w:spacing w:line="499" w:lineRule="exact" w:before="0" w:after="0"/>
        <w:ind w:left="979" w:right="0" w:hanging="239"/>
        <w:jc w:val="left"/>
      </w:pPr>
      <w:r>
        <w:rPr>
          <w:spacing w:val="-3"/>
        </w:rPr>
        <w:t>是否实行限额申报？</w:t>
      </w:r>
    </w:p>
    <w:p>
      <w:pPr>
        <w:pStyle w:val="BodyText"/>
        <w:spacing w:before="25"/>
        <w:ind w:left="740"/>
      </w:pPr>
      <w:r>
        <w:rPr>
          <w:rFonts w:ascii="Microsoft JhengHei" w:eastAsia="Microsoft JhengHei"/>
          <w:b/>
          <w:spacing w:val="-4"/>
        </w:rPr>
        <w:t>答：</w:t>
      </w:r>
      <w:r>
        <w:rPr>
          <w:spacing w:val="-5"/>
        </w:rPr>
        <w:t>年度项目继续实行限额申报。</w:t>
      </w:r>
    </w:p>
    <w:p>
      <w:pPr>
        <w:pStyle w:val="Heading1"/>
        <w:spacing w:line="252" w:lineRule="auto" w:before="27"/>
        <w:ind w:left="101" w:right="261" w:firstLine="638"/>
        <w:jc w:val="both"/>
      </w:pPr>
      <w:r>
        <w:rPr>
          <w:rFonts w:ascii="Times New Roman" w:eastAsia="Times New Roman"/>
        </w:rPr>
        <w:t>7.2024</w:t>
      </w:r>
      <w:r>
        <w:rPr>
          <w:rFonts w:ascii="Times New Roman" w:eastAsia="Times New Roman"/>
          <w:spacing w:val="-5"/>
        </w:rPr>
        <w:t> </w:t>
      </w:r>
      <w:r>
        <w:rPr>
          <w:spacing w:val="-1"/>
        </w:rPr>
        <w:t>年度国家自然科学基金项目和 </w:t>
      </w:r>
      <w:r>
        <w:rPr>
          <w:rFonts w:ascii="Times New Roman" w:eastAsia="Times New Roman"/>
        </w:rPr>
        <w:t>2024</w:t>
      </w:r>
      <w:r>
        <w:rPr>
          <w:rFonts w:ascii="Times New Roman" w:eastAsia="Times New Roman"/>
          <w:spacing w:val="-5"/>
        </w:rPr>
        <w:t> </w:t>
      </w:r>
      <w:r>
        <w:rPr/>
        <w:t>年度教育部人</w:t>
      </w:r>
      <w:r>
        <w:rPr>
          <w:spacing w:val="-2"/>
        </w:rPr>
        <w:t>文社会科学研究一般项目的申请人能否作为负责人申报本次年度项目？</w:t>
      </w:r>
    </w:p>
    <w:p>
      <w:pPr>
        <w:pStyle w:val="BodyText"/>
        <w:spacing w:line="278" w:lineRule="auto" w:before="0"/>
        <w:ind w:right="259" w:firstLine="638"/>
      </w:pPr>
      <w:r>
        <w:rPr>
          <w:rFonts w:ascii="Microsoft JhengHei" w:eastAsia="Microsoft JhengHei"/>
          <w:b/>
          <w:spacing w:val="-35"/>
        </w:rPr>
        <w:t>答：</w:t>
      </w:r>
      <w:r>
        <w:rPr>
          <w:spacing w:val="-6"/>
        </w:rPr>
        <w:t>国家自然科学基金项目及其他国家级科研项目、教育</w:t>
      </w:r>
      <w:r>
        <w:rPr>
          <w:spacing w:val="-12"/>
        </w:rPr>
        <w:t>部人文社会科学研究一般项目的申请人，同年不能申报年度项</w:t>
      </w:r>
    </w:p>
    <w:p>
      <w:pPr>
        <w:pStyle w:val="BodyText"/>
        <w:spacing w:before="97"/>
      </w:pPr>
      <w:r>
        <w:rPr>
          <w:spacing w:val="-5"/>
        </w:rPr>
        <w:t>目。同一申请人以不同题目、不同内容也不能同时两边申报。</w:t>
      </w:r>
    </w:p>
    <w:p>
      <w:pPr>
        <w:pStyle w:val="Heading1"/>
        <w:numPr>
          <w:ilvl w:val="0"/>
          <w:numId w:val="2"/>
        </w:numPr>
        <w:tabs>
          <w:tab w:pos="978" w:val="left" w:leader="none"/>
        </w:tabs>
        <w:spacing w:line="252" w:lineRule="auto" w:before="100" w:after="0"/>
        <w:ind w:left="101" w:right="259" w:firstLine="638"/>
        <w:jc w:val="left"/>
      </w:pPr>
      <w:r>
        <w:rPr>
          <w:spacing w:val="-9"/>
        </w:rPr>
        <w:t>在研国家社会科学基金项目、国家自然科学基金项目负</w:t>
      </w:r>
      <w:r>
        <w:rPr>
          <w:spacing w:val="-2"/>
        </w:rPr>
        <w:t>责人能否申报本次年度项目？</w:t>
      </w:r>
    </w:p>
    <w:p>
      <w:pPr>
        <w:pStyle w:val="BodyText"/>
        <w:spacing w:line="551" w:lineRule="exact" w:before="0"/>
        <w:ind w:firstLine="638"/>
      </w:pPr>
      <w:r>
        <w:rPr>
          <w:rFonts w:ascii="Microsoft JhengHei" w:eastAsia="Microsoft JhengHei"/>
          <w:b/>
          <w:spacing w:val="-36"/>
        </w:rPr>
        <w:t>答：</w:t>
      </w:r>
      <w:r>
        <w:rPr>
          <w:spacing w:val="-10"/>
        </w:rPr>
        <w:t>在研国家社会科学基金项目、国家自然科学基金项目</w:t>
      </w:r>
    </w:p>
    <w:p>
      <w:pPr>
        <w:pStyle w:val="BodyText"/>
        <w:spacing w:line="336" w:lineRule="auto"/>
        <w:ind w:right="261"/>
      </w:pPr>
      <w:r>
        <w:rPr>
          <w:spacing w:val="-10"/>
        </w:rPr>
        <w:t>及其他国家级科研项目负责人，不得申报本次年度项目</w:t>
      </w:r>
      <w:r>
        <w:rPr>
          <w:spacing w:val="-2"/>
        </w:rPr>
        <w:t>（结项</w:t>
      </w:r>
      <w:r>
        <w:rPr>
          <w:spacing w:val="-8"/>
        </w:rPr>
        <w:t>证书标注日期在 </w:t>
      </w:r>
      <w:r>
        <w:rPr>
          <w:rFonts w:ascii="Times New Roman" w:eastAsia="Times New Roman"/>
        </w:rPr>
        <w:t>2024 </w:t>
      </w:r>
      <w:r>
        <w:rPr>
          <w:spacing w:val="-27"/>
        </w:rPr>
        <w:t>年 </w:t>
      </w:r>
      <w:r>
        <w:rPr>
          <w:rFonts w:ascii="Times New Roman" w:eastAsia="Times New Roman"/>
        </w:rPr>
        <w:t>5 </w:t>
      </w:r>
      <w:r>
        <w:rPr>
          <w:spacing w:val="-27"/>
        </w:rPr>
        <w:t>月 </w:t>
      </w:r>
      <w:r>
        <w:rPr>
          <w:rFonts w:ascii="Times New Roman" w:eastAsia="Times New Roman"/>
        </w:rPr>
        <w:t>19 </w:t>
      </w:r>
      <w:r>
        <w:rPr/>
        <w:t>日之前）。</w:t>
      </w:r>
    </w:p>
    <w:p>
      <w:pPr>
        <w:pStyle w:val="Heading1"/>
        <w:numPr>
          <w:ilvl w:val="0"/>
          <w:numId w:val="2"/>
        </w:numPr>
        <w:tabs>
          <w:tab w:pos="984" w:val="left" w:leader="none"/>
        </w:tabs>
        <w:spacing w:line="483" w:lineRule="exact" w:before="0" w:after="0"/>
        <w:ind w:left="984" w:right="0" w:hanging="244"/>
        <w:jc w:val="left"/>
      </w:pPr>
      <w:r>
        <w:rPr>
          <w:spacing w:val="1"/>
        </w:rPr>
        <w:t>本次年度项目申请人能否申报 </w:t>
      </w:r>
      <w:r>
        <w:rPr>
          <w:rFonts w:ascii="Times New Roman" w:eastAsia="Times New Roman"/>
        </w:rPr>
        <w:t>2024</w:t>
      </w:r>
      <w:r>
        <w:rPr>
          <w:rFonts w:ascii="Times New Roman" w:eastAsia="Times New Roman"/>
          <w:spacing w:val="23"/>
        </w:rPr>
        <w:t> </w:t>
      </w:r>
      <w:r>
        <w:rPr>
          <w:spacing w:val="-2"/>
        </w:rPr>
        <w:t>年国家社会科学基</w:t>
      </w:r>
    </w:p>
    <w:p>
      <w:pPr>
        <w:spacing w:before="28"/>
        <w:ind w:left="101" w:right="0" w:firstLine="0"/>
        <w:jc w:val="left"/>
        <w:rPr>
          <w:rFonts w:ascii="Microsoft JhengHei" w:eastAsia="Microsoft JhengHei"/>
          <w:b/>
          <w:sz w:val="32"/>
        </w:rPr>
      </w:pPr>
      <w:r>
        <w:rPr>
          <w:rFonts w:ascii="Microsoft JhengHei" w:eastAsia="Microsoft JhengHei"/>
          <w:b/>
          <w:spacing w:val="-4"/>
          <w:sz w:val="32"/>
        </w:rPr>
        <w:t>金重大项目？</w:t>
      </w:r>
    </w:p>
    <w:p>
      <w:pPr>
        <w:spacing w:before="25"/>
        <w:ind w:left="740" w:right="0" w:firstLine="0"/>
        <w:jc w:val="left"/>
        <w:rPr>
          <w:sz w:val="32"/>
        </w:rPr>
      </w:pPr>
      <w:r>
        <w:rPr>
          <w:rFonts w:ascii="Microsoft JhengHei" w:eastAsia="Microsoft JhengHei"/>
          <w:b/>
          <w:spacing w:val="-2"/>
          <w:sz w:val="32"/>
        </w:rPr>
        <w:t>答：</w:t>
      </w:r>
      <w:r>
        <w:rPr>
          <w:spacing w:val="-5"/>
          <w:sz w:val="32"/>
        </w:rPr>
        <w:t>不能。</w:t>
      </w:r>
    </w:p>
    <w:p>
      <w:pPr>
        <w:pStyle w:val="Heading1"/>
        <w:numPr>
          <w:ilvl w:val="0"/>
          <w:numId w:val="2"/>
        </w:numPr>
        <w:tabs>
          <w:tab w:pos="1141" w:val="left" w:leader="none"/>
        </w:tabs>
        <w:spacing w:line="240" w:lineRule="auto" w:before="27" w:after="0"/>
        <w:ind w:left="1141" w:right="0" w:hanging="401"/>
        <w:jc w:val="left"/>
      </w:pPr>
      <w:r>
        <w:rPr>
          <w:spacing w:val="-1"/>
        </w:rPr>
        <w:t>申报重点项目评审未通过的，是否有机会转立为一般</w:t>
      </w:r>
    </w:p>
    <w:p>
      <w:pPr>
        <w:spacing w:after="0" w:line="240" w:lineRule="auto"/>
        <w:jc w:val="left"/>
        <w:sectPr>
          <w:pgSz w:w="11910" w:h="16840"/>
          <w:pgMar w:header="0" w:footer="1005" w:top="1920" w:bottom="1200" w:left="1600" w:right="1440"/>
        </w:sectPr>
      </w:pPr>
    </w:p>
    <w:p>
      <w:pPr>
        <w:spacing w:before="403"/>
        <w:ind w:left="101" w:right="0" w:firstLine="0"/>
        <w:jc w:val="left"/>
        <w:rPr>
          <w:rFonts w:ascii="Microsoft JhengHei" w:eastAsia="Microsoft JhengHei"/>
          <w:b/>
          <w:sz w:val="32"/>
        </w:rPr>
      </w:pPr>
      <w:r>
        <w:rPr>
          <w:rFonts w:ascii="Microsoft JhengHei" w:eastAsia="Microsoft JhengHei"/>
          <w:b/>
          <w:spacing w:val="-5"/>
          <w:sz w:val="32"/>
        </w:rPr>
        <w:t>项目？</w:t>
      </w:r>
    </w:p>
    <w:p>
      <w:pPr>
        <w:pStyle w:val="BodyText"/>
        <w:spacing w:line="278" w:lineRule="auto" w:before="28"/>
        <w:ind w:right="259" w:firstLine="638"/>
      </w:pPr>
      <w:r>
        <w:rPr>
          <w:rFonts w:ascii="Microsoft JhengHei" w:eastAsia="Microsoft JhengHei"/>
          <w:b/>
          <w:spacing w:val="-35"/>
        </w:rPr>
        <w:t>答：</w:t>
      </w:r>
      <w:r>
        <w:rPr>
          <w:spacing w:val="-7"/>
        </w:rPr>
        <w:t>申报重点项目评审未通过的，原则上不再转立为一般</w:t>
      </w:r>
      <w:r>
        <w:rPr>
          <w:spacing w:val="-15"/>
        </w:rPr>
        <w:t>项目。申请人需按照各项目类别的定位和要求，结合研究选题</w:t>
      </w:r>
    </w:p>
    <w:p>
      <w:pPr>
        <w:pStyle w:val="BodyText"/>
        <w:spacing w:before="99"/>
      </w:pPr>
      <w:r>
        <w:rPr>
          <w:spacing w:val="-5"/>
        </w:rPr>
        <w:t>和基础，审慎选择相应的项目类别进行申报。</w:t>
      </w:r>
    </w:p>
    <w:p>
      <w:pPr>
        <w:pStyle w:val="Heading1"/>
        <w:numPr>
          <w:ilvl w:val="0"/>
          <w:numId w:val="2"/>
        </w:numPr>
        <w:tabs>
          <w:tab w:pos="1122" w:val="left" w:leader="none"/>
        </w:tabs>
        <w:spacing w:line="252" w:lineRule="auto" w:before="100" w:after="0"/>
        <w:ind w:left="101" w:right="261" w:firstLine="638"/>
        <w:jc w:val="left"/>
      </w:pPr>
      <w:r>
        <w:rPr>
          <w:spacing w:val="-2"/>
        </w:rPr>
        <w:t>项目申请人是否可以同时作为课题组成员参加其他项</w:t>
      </w:r>
      <w:r>
        <w:rPr>
          <w:spacing w:val="-4"/>
        </w:rPr>
        <w:t>目申报？</w:t>
      </w:r>
    </w:p>
    <w:p>
      <w:pPr>
        <w:pStyle w:val="BodyText"/>
        <w:spacing w:line="551" w:lineRule="exact" w:before="0"/>
        <w:ind w:firstLine="638"/>
      </w:pPr>
      <w:r>
        <w:rPr>
          <w:rFonts w:ascii="Microsoft JhengHei" w:eastAsia="Microsoft JhengHei"/>
          <w:b/>
          <w:spacing w:val="-36"/>
        </w:rPr>
        <w:t>答：</w:t>
      </w:r>
      <w:r>
        <w:rPr>
          <w:spacing w:val="-10"/>
        </w:rPr>
        <w:t>每个申请人限报一个年度项目，且不能作为课题组成</w:t>
      </w:r>
    </w:p>
    <w:p>
      <w:pPr>
        <w:pStyle w:val="BodyText"/>
        <w:spacing w:line="333" w:lineRule="auto"/>
        <w:ind w:right="259"/>
        <w:jc w:val="both"/>
      </w:pPr>
      <w:r>
        <w:rPr>
          <w:spacing w:val="-13"/>
        </w:rPr>
        <w:t>员参与其他年度项目的申报。所列课题组成员必须征得成员本</w:t>
      </w:r>
      <w:r>
        <w:rPr>
          <w:spacing w:val="-14"/>
        </w:rPr>
        <w:t>人同意并签字确认，否则视为违规申报。不得通过变换责任单</w:t>
      </w:r>
      <w:r>
        <w:rPr>
          <w:spacing w:val="-15"/>
        </w:rPr>
        <w:t>位申报，也不得将内容基本相同或相近的申报材料以不同申请</w:t>
      </w:r>
      <w:r>
        <w:rPr>
          <w:spacing w:val="-2"/>
        </w:rPr>
        <w:t>人的名义申报。</w:t>
      </w:r>
    </w:p>
    <w:p>
      <w:pPr>
        <w:pStyle w:val="Heading1"/>
        <w:numPr>
          <w:ilvl w:val="0"/>
          <w:numId w:val="2"/>
        </w:numPr>
        <w:tabs>
          <w:tab w:pos="1139" w:val="left" w:leader="none"/>
        </w:tabs>
        <w:spacing w:line="497" w:lineRule="exact" w:before="0" w:after="0"/>
        <w:ind w:left="1139" w:right="0" w:hanging="399"/>
        <w:jc w:val="left"/>
      </w:pPr>
      <w:r>
        <w:rPr>
          <w:spacing w:val="-3"/>
        </w:rPr>
        <w:t>课题组成员最多可参与几个年度项目申请？</w:t>
      </w:r>
    </w:p>
    <w:p>
      <w:pPr>
        <w:pStyle w:val="BodyText"/>
        <w:spacing w:before="26"/>
        <w:ind w:left="740"/>
        <w:jc w:val="both"/>
      </w:pPr>
      <w:r>
        <w:rPr>
          <w:rFonts w:ascii="Microsoft JhengHei" w:eastAsia="Microsoft JhengHei"/>
          <w:b/>
          <w:spacing w:val="-35"/>
        </w:rPr>
        <w:t>答：</w:t>
      </w:r>
      <w:r>
        <w:rPr>
          <w:spacing w:val="-10"/>
        </w:rPr>
        <w:t>课题组成员最多参与 </w:t>
      </w:r>
      <w:r>
        <w:rPr>
          <w:rFonts w:ascii="Times New Roman" w:eastAsia="Times New Roman"/>
          <w:spacing w:val="-2"/>
        </w:rPr>
        <w:t>2</w:t>
      </w:r>
      <w:r>
        <w:rPr>
          <w:rFonts w:ascii="Times New Roman" w:eastAsia="Times New Roman"/>
          <w:spacing w:val="-16"/>
        </w:rPr>
        <w:t> </w:t>
      </w:r>
      <w:r>
        <w:rPr>
          <w:spacing w:val="-10"/>
        </w:rPr>
        <w:t>个年度项目申请，在研国家级</w:t>
      </w:r>
    </w:p>
    <w:p>
      <w:pPr>
        <w:pStyle w:val="BodyText"/>
      </w:pPr>
      <w:r>
        <w:rPr>
          <w:spacing w:val="-9"/>
        </w:rPr>
        <w:t>项目课题组成员最多参与 </w:t>
      </w:r>
      <w:r>
        <w:rPr>
          <w:rFonts w:ascii="Times New Roman" w:eastAsia="Times New Roman"/>
          <w:spacing w:val="-2"/>
        </w:rPr>
        <w:t>1</w:t>
      </w:r>
      <w:r>
        <w:rPr>
          <w:rFonts w:ascii="Times New Roman" w:eastAsia="Times New Roman"/>
          <w:spacing w:val="-12"/>
        </w:rPr>
        <w:t> </w:t>
      </w:r>
      <w:r>
        <w:rPr>
          <w:spacing w:val="-3"/>
        </w:rPr>
        <w:t>个年度项目申请。</w:t>
      </w:r>
    </w:p>
    <w:p>
      <w:pPr>
        <w:pStyle w:val="Heading1"/>
        <w:numPr>
          <w:ilvl w:val="0"/>
          <w:numId w:val="2"/>
        </w:numPr>
        <w:tabs>
          <w:tab w:pos="1139" w:val="left" w:leader="none"/>
        </w:tabs>
        <w:spacing w:line="240" w:lineRule="auto" w:before="100" w:after="0"/>
        <w:ind w:left="1139" w:right="0" w:hanging="399"/>
        <w:jc w:val="left"/>
      </w:pPr>
      <w:r>
        <w:rPr>
          <w:spacing w:val="-3"/>
        </w:rPr>
        <w:t>申报青年项目有什么要求？</w:t>
      </w:r>
    </w:p>
    <w:p>
      <w:pPr>
        <w:pStyle w:val="BodyText"/>
        <w:spacing w:before="25"/>
        <w:ind w:left="740"/>
        <w:jc w:val="both"/>
      </w:pPr>
      <w:r>
        <w:rPr>
          <w:rFonts w:ascii="Microsoft JhengHei" w:eastAsia="Microsoft JhengHei"/>
          <w:b/>
        </w:rPr>
        <w:t>答：</w:t>
      </w:r>
      <w:r>
        <w:rPr>
          <w:spacing w:val="-7"/>
        </w:rPr>
        <w:t>男性申请人年龄不超过 </w:t>
      </w:r>
      <w:r>
        <w:rPr>
          <w:rFonts w:ascii="Times New Roman" w:eastAsia="Times New Roman"/>
        </w:rPr>
        <w:t>35</w:t>
      </w:r>
      <w:r>
        <w:rPr>
          <w:rFonts w:ascii="Times New Roman" w:eastAsia="Times New Roman"/>
          <w:spacing w:val="4"/>
        </w:rPr>
        <w:t> </w:t>
      </w:r>
      <w:r>
        <w:rPr/>
        <w:t>周岁（</w:t>
      </w:r>
      <w:r>
        <w:rPr>
          <w:rFonts w:ascii="Times New Roman" w:eastAsia="Times New Roman"/>
        </w:rPr>
        <w:t>1989</w:t>
      </w:r>
      <w:r>
        <w:rPr>
          <w:rFonts w:ascii="Times New Roman" w:eastAsia="Times New Roman"/>
          <w:spacing w:val="7"/>
        </w:rPr>
        <w:t> </w:t>
      </w:r>
      <w:r>
        <w:rPr>
          <w:spacing w:val="-36"/>
        </w:rPr>
        <w:t>年 </w:t>
      </w:r>
      <w:r>
        <w:rPr>
          <w:rFonts w:ascii="Times New Roman" w:eastAsia="Times New Roman"/>
        </w:rPr>
        <w:t>5</w:t>
      </w:r>
      <w:r>
        <w:rPr>
          <w:rFonts w:ascii="Times New Roman" w:eastAsia="Times New Roman"/>
          <w:spacing w:val="7"/>
        </w:rPr>
        <w:t> </w:t>
      </w:r>
      <w:r>
        <w:rPr>
          <w:spacing w:val="-36"/>
        </w:rPr>
        <w:t>月 </w:t>
      </w:r>
      <w:r>
        <w:rPr>
          <w:rFonts w:ascii="Times New Roman" w:eastAsia="Times New Roman"/>
        </w:rPr>
        <w:t>19</w:t>
      </w:r>
      <w:r>
        <w:rPr>
          <w:rFonts w:ascii="Times New Roman" w:eastAsia="Times New Roman"/>
          <w:spacing w:val="4"/>
        </w:rPr>
        <w:t> </w:t>
      </w:r>
      <w:r>
        <w:rPr>
          <w:spacing w:val="-10"/>
        </w:rPr>
        <w:t>日</w:t>
      </w:r>
    </w:p>
    <w:p>
      <w:pPr>
        <w:pStyle w:val="BodyText"/>
        <w:spacing w:line="333" w:lineRule="auto"/>
        <w:ind w:right="259"/>
        <w:jc w:val="both"/>
      </w:pPr>
      <w:r>
        <w:rPr/>
        <w:t>后出生）</w:t>
      </w:r>
      <w:r>
        <w:rPr>
          <w:spacing w:val="-4"/>
        </w:rPr>
        <w:t>，女性申请人年龄不超过 </w:t>
      </w:r>
      <w:r>
        <w:rPr>
          <w:rFonts w:ascii="Times New Roman" w:eastAsia="Times New Roman"/>
        </w:rPr>
        <w:t>40</w:t>
      </w:r>
      <w:r>
        <w:rPr>
          <w:rFonts w:ascii="Times New Roman" w:eastAsia="Times New Roman"/>
          <w:spacing w:val="-20"/>
        </w:rPr>
        <w:t> </w:t>
      </w:r>
      <w:r>
        <w:rPr/>
        <w:t>周岁（</w:t>
      </w:r>
      <w:r>
        <w:rPr>
          <w:rFonts w:ascii="Times New Roman" w:eastAsia="Times New Roman"/>
        </w:rPr>
        <w:t>1984</w:t>
      </w:r>
      <w:r>
        <w:rPr>
          <w:rFonts w:ascii="Times New Roman" w:eastAsia="Times New Roman"/>
          <w:spacing w:val="23"/>
        </w:rPr>
        <w:t> </w:t>
      </w:r>
      <w:r>
        <w:rPr>
          <w:spacing w:val="-20"/>
        </w:rPr>
        <w:t>年 </w:t>
      </w:r>
      <w:r>
        <w:rPr>
          <w:rFonts w:ascii="Times New Roman" w:eastAsia="Times New Roman"/>
        </w:rPr>
        <w:t>5</w:t>
      </w:r>
      <w:r>
        <w:rPr>
          <w:rFonts w:ascii="Times New Roman" w:eastAsia="Times New Roman"/>
          <w:spacing w:val="26"/>
        </w:rPr>
        <w:t> </w:t>
      </w:r>
      <w:r>
        <w:rPr>
          <w:spacing w:val="-20"/>
        </w:rPr>
        <w:t>月 </w:t>
      </w:r>
      <w:r>
        <w:rPr>
          <w:rFonts w:ascii="Times New Roman" w:eastAsia="Times New Roman"/>
        </w:rPr>
        <w:t>19</w:t>
      </w:r>
      <w:r>
        <w:rPr>
          <w:spacing w:val="-2"/>
        </w:rPr>
        <w:t>日后出生</w:t>
      </w:r>
      <w:r>
        <w:rPr>
          <w:spacing w:val="-94"/>
        </w:rPr>
        <w:t>），</w:t>
      </w:r>
      <w:r>
        <w:rPr>
          <w:spacing w:val="-11"/>
        </w:rPr>
        <w:t>无论是否具有副高级以上</w:t>
      </w:r>
      <w:r>
        <w:rPr>
          <w:spacing w:val="-2"/>
        </w:rPr>
        <w:t>（含</w:t>
      </w:r>
      <w:r>
        <w:rPr>
          <w:spacing w:val="-94"/>
        </w:rPr>
        <w:t>）</w:t>
      </w:r>
      <w:r>
        <w:rPr>
          <w:spacing w:val="-15"/>
        </w:rPr>
        <w:t>专业技术职称</w:t>
      </w:r>
      <w:r>
        <w:rPr>
          <w:spacing w:val="-2"/>
        </w:rPr>
        <w:t>（职务）或博士学位，均可申报青年项目。</w:t>
      </w:r>
    </w:p>
    <w:p>
      <w:pPr>
        <w:pStyle w:val="Heading1"/>
        <w:numPr>
          <w:ilvl w:val="0"/>
          <w:numId w:val="2"/>
        </w:numPr>
        <w:tabs>
          <w:tab w:pos="1139" w:val="left" w:leader="none"/>
        </w:tabs>
        <w:spacing w:line="494" w:lineRule="exact" w:before="0" w:after="0"/>
        <w:ind w:left="1139" w:right="0" w:hanging="399"/>
        <w:jc w:val="left"/>
      </w:pPr>
      <w:r>
        <w:rPr>
          <w:spacing w:val="-3"/>
        </w:rPr>
        <w:t>申报西部项目还能同时申报其他年度项目类别吗？</w:t>
      </w:r>
    </w:p>
    <w:p>
      <w:pPr>
        <w:pStyle w:val="BodyText"/>
        <w:spacing w:line="280" w:lineRule="auto" w:before="25"/>
        <w:ind w:right="102" w:firstLine="638"/>
      </w:pPr>
      <w:r>
        <w:rPr>
          <w:rFonts w:ascii="Microsoft JhengHei" w:eastAsia="Microsoft JhengHei"/>
          <w:b/>
          <w:spacing w:val="-2"/>
        </w:rPr>
        <w:t>答：</w:t>
      </w:r>
      <w:r>
        <w:rPr>
          <w:spacing w:val="-2"/>
        </w:rPr>
        <w:t>不能，申请人本次只能申报一个年度项目。选择申报</w:t>
      </w:r>
      <w:r>
        <w:rPr>
          <w:spacing w:val="-21"/>
        </w:rPr>
        <w:t>西部项目的申请人，不能再同时申报其他项目类别；反之亦然。</w:t>
      </w:r>
    </w:p>
    <w:p>
      <w:pPr>
        <w:spacing w:after="0" w:line="280" w:lineRule="auto"/>
        <w:sectPr>
          <w:pgSz w:w="11910" w:h="16840"/>
          <w:pgMar w:header="0" w:footer="1005" w:top="1920" w:bottom="1200" w:left="1600" w:right="1440"/>
        </w:sectPr>
      </w:pPr>
    </w:p>
    <w:p>
      <w:pPr>
        <w:pStyle w:val="Heading1"/>
        <w:numPr>
          <w:ilvl w:val="0"/>
          <w:numId w:val="2"/>
        </w:numPr>
        <w:tabs>
          <w:tab w:pos="1139" w:val="left" w:leader="none"/>
        </w:tabs>
        <w:spacing w:line="240" w:lineRule="auto" w:before="403" w:after="0"/>
        <w:ind w:left="1139" w:right="0" w:hanging="399"/>
        <w:jc w:val="left"/>
      </w:pPr>
      <w:r>
        <w:rPr>
          <w:spacing w:val="-3"/>
        </w:rPr>
        <w:t>哪些地区和单位的申请人可以申报西部项目？</w:t>
      </w:r>
    </w:p>
    <w:p>
      <w:pPr>
        <w:pStyle w:val="BodyText"/>
        <w:spacing w:line="278" w:lineRule="auto" w:before="28"/>
        <w:ind w:right="122" w:firstLine="638"/>
      </w:pPr>
      <w:r>
        <w:rPr>
          <w:rFonts w:ascii="Microsoft JhengHei" w:eastAsia="Microsoft JhengHei"/>
          <w:b/>
          <w:spacing w:val="-2"/>
        </w:rPr>
        <w:t>答：</w:t>
      </w:r>
      <w:r>
        <w:rPr>
          <w:spacing w:val="-2"/>
        </w:rPr>
        <w:t>西部项目面向位于内蒙古自治区、广西壮族自治区、海南省、重庆市、四川省、贵州省、云南省、西藏自治区、陕</w:t>
      </w:r>
    </w:p>
    <w:p>
      <w:pPr>
        <w:pStyle w:val="BodyText"/>
        <w:spacing w:line="333" w:lineRule="auto" w:before="99"/>
        <w:ind w:right="126"/>
      </w:pPr>
      <w:r>
        <w:rPr>
          <w:spacing w:val="-2"/>
        </w:rPr>
        <w:t>西省、甘肃省、青海省、宁夏回族自治区、新疆维吾尔自治区</w:t>
      </w:r>
      <w:r>
        <w:rPr>
          <w:spacing w:val="-11"/>
        </w:rPr>
        <w:t>等 </w:t>
      </w:r>
      <w:r>
        <w:rPr>
          <w:rFonts w:ascii="Times New Roman" w:eastAsia="Times New Roman"/>
        </w:rPr>
        <w:t>13 </w:t>
      </w:r>
      <w:r>
        <w:rPr/>
        <w:t>个省（自治区、直辖市）和新疆生产建设兵团，以及其</w:t>
      </w:r>
      <w:r>
        <w:rPr>
          <w:spacing w:val="-2"/>
        </w:rPr>
        <w:t>他参照西部项目条件要求执行的部分科研单位。获准立项后，西部项目不得因其负责人工作调动而转出西部地区。</w:t>
      </w:r>
    </w:p>
    <w:p>
      <w:pPr>
        <w:pStyle w:val="Heading1"/>
        <w:numPr>
          <w:ilvl w:val="0"/>
          <w:numId w:val="2"/>
        </w:numPr>
        <w:tabs>
          <w:tab w:pos="1139" w:val="left" w:leader="none"/>
        </w:tabs>
        <w:spacing w:line="497" w:lineRule="exact" w:before="0" w:after="0"/>
        <w:ind w:left="1139" w:right="0" w:hanging="399"/>
        <w:jc w:val="left"/>
      </w:pPr>
      <w:r>
        <w:rPr>
          <w:spacing w:val="-3"/>
        </w:rPr>
        <w:t>跨学科研究课题如何填报学科范围？</w:t>
      </w:r>
    </w:p>
    <w:p>
      <w:pPr>
        <w:pStyle w:val="BodyText"/>
        <w:spacing w:line="278" w:lineRule="auto" w:before="28"/>
        <w:ind w:right="126" w:firstLine="638"/>
      </w:pPr>
      <w:r>
        <w:rPr>
          <w:rFonts w:ascii="Microsoft JhengHei" w:hAnsi="Microsoft JhengHei" w:eastAsia="Microsoft JhengHei"/>
          <w:b/>
          <w:spacing w:val="-2"/>
        </w:rPr>
        <w:t>答：</w:t>
      </w:r>
      <w:r>
        <w:rPr>
          <w:spacing w:val="-2"/>
        </w:rPr>
        <w:t>跨学科研究课题要以</w:t>
      </w:r>
      <w:r>
        <w:rPr>
          <w:rFonts w:ascii="Times New Roman" w:hAnsi="Times New Roman" w:eastAsia="Times New Roman"/>
          <w:spacing w:val="-2"/>
        </w:rPr>
        <w:t>“</w:t>
      </w:r>
      <w:r>
        <w:rPr>
          <w:spacing w:val="-2"/>
        </w:rPr>
        <w:t>靠近优先</w:t>
      </w:r>
      <w:r>
        <w:rPr>
          <w:rFonts w:ascii="Times New Roman" w:hAnsi="Times New Roman" w:eastAsia="Times New Roman"/>
          <w:spacing w:val="-2"/>
        </w:rPr>
        <w:t>”</w:t>
      </w:r>
      <w:r>
        <w:rPr>
          <w:spacing w:val="-10"/>
        </w:rPr>
        <w:t>原则，选择一个主学</w:t>
      </w:r>
      <w:r>
        <w:rPr>
          <w:spacing w:val="-5"/>
        </w:rPr>
        <w:t>科申报。申报跨学科重点项目的，除选择一个主学科申报外，</w:t>
      </w:r>
    </w:p>
    <w:p>
      <w:pPr>
        <w:pStyle w:val="BodyText"/>
        <w:spacing w:before="99"/>
      </w:pPr>
      <w:r>
        <w:rPr>
          <w:spacing w:val="-15"/>
        </w:rPr>
        <w:t>需同时列出 </w:t>
      </w:r>
      <w:r>
        <w:rPr>
          <w:rFonts w:ascii="Times New Roman" w:hAnsi="Times New Roman" w:eastAsia="Times New Roman"/>
          <w:spacing w:val="-2"/>
        </w:rPr>
        <w:t>1</w:t>
      </w:r>
      <w:r>
        <w:rPr>
          <w:spacing w:val="-2"/>
        </w:rPr>
        <w:t>—</w:t>
      </w:r>
      <w:r>
        <w:rPr>
          <w:rFonts w:ascii="Times New Roman" w:hAnsi="Times New Roman" w:eastAsia="Times New Roman"/>
          <w:spacing w:val="-2"/>
        </w:rPr>
        <w:t>2</w:t>
      </w:r>
      <w:r>
        <w:rPr>
          <w:rFonts w:ascii="Times New Roman" w:hAnsi="Times New Roman" w:eastAsia="Times New Roman"/>
          <w:spacing w:val="-7"/>
        </w:rPr>
        <w:t> </w:t>
      </w:r>
      <w:r>
        <w:rPr>
          <w:spacing w:val="-4"/>
        </w:rPr>
        <w:t>个相关学科。</w:t>
      </w:r>
    </w:p>
    <w:p>
      <w:pPr>
        <w:pStyle w:val="Heading1"/>
        <w:numPr>
          <w:ilvl w:val="0"/>
          <w:numId w:val="2"/>
        </w:numPr>
        <w:tabs>
          <w:tab w:pos="1139" w:val="left" w:leader="none"/>
        </w:tabs>
        <w:spacing w:line="240" w:lineRule="auto" w:before="100" w:after="0"/>
        <w:ind w:left="1139" w:right="0" w:hanging="399"/>
        <w:jc w:val="left"/>
      </w:pPr>
      <w:r>
        <w:rPr>
          <w:spacing w:val="-3"/>
        </w:rPr>
        <w:t>年度项目资助额度是多少？</w:t>
      </w:r>
    </w:p>
    <w:p>
      <w:pPr>
        <w:pStyle w:val="BodyText"/>
        <w:spacing w:before="25"/>
        <w:ind w:left="740"/>
      </w:pPr>
      <w:r>
        <w:rPr>
          <w:rFonts w:ascii="Microsoft JhengHei" w:eastAsia="Microsoft JhengHei"/>
          <w:b/>
          <w:spacing w:val="-8"/>
        </w:rPr>
        <w:t>答：</w:t>
      </w:r>
      <w:r>
        <w:rPr>
          <w:spacing w:val="-13"/>
        </w:rPr>
        <w:t>年度项目资助额度为：重点项目 </w:t>
      </w:r>
      <w:r>
        <w:rPr>
          <w:rFonts w:ascii="Times New Roman" w:eastAsia="Times New Roman"/>
          <w:spacing w:val="-8"/>
        </w:rPr>
        <w:t>35</w:t>
      </w:r>
      <w:r>
        <w:rPr>
          <w:rFonts w:ascii="Times New Roman" w:eastAsia="Times New Roman"/>
        </w:rPr>
        <w:t> </w:t>
      </w:r>
      <w:r>
        <w:rPr>
          <w:spacing w:val="-9"/>
        </w:rPr>
        <w:t>万元，一般项目、</w:t>
      </w:r>
    </w:p>
    <w:p>
      <w:pPr>
        <w:pStyle w:val="BodyText"/>
      </w:pPr>
      <w:r>
        <w:rPr>
          <w:spacing w:val="-10"/>
        </w:rPr>
        <w:t>青年项目、西部项目 </w:t>
      </w:r>
      <w:r>
        <w:rPr>
          <w:rFonts w:ascii="Times New Roman" w:eastAsia="Times New Roman"/>
          <w:spacing w:val="-2"/>
        </w:rPr>
        <w:t>20</w:t>
      </w:r>
      <w:r>
        <w:rPr>
          <w:rFonts w:ascii="Times New Roman" w:eastAsia="Times New Roman"/>
          <w:spacing w:val="-4"/>
        </w:rPr>
        <w:t> </w:t>
      </w:r>
      <w:r>
        <w:rPr>
          <w:spacing w:val="-5"/>
        </w:rPr>
        <w:t>万元。</w:t>
      </w:r>
    </w:p>
    <w:p>
      <w:pPr>
        <w:pStyle w:val="Heading1"/>
        <w:numPr>
          <w:ilvl w:val="0"/>
          <w:numId w:val="2"/>
        </w:numPr>
        <w:tabs>
          <w:tab w:pos="1139" w:val="left" w:leader="none"/>
        </w:tabs>
        <w:spacing w:line="240" w:lineRule="auto" w:before="101" w:after="0"/>
        <w:ind w:left="1139" w:right="0" w:hanging="399"/>
        <w:jc w:val="left"/>
      </w:pPr>
      <w:r>
        <w:rPr>
          <w:spacing w:val="-3"/>
        </w:rPr>
        <w:t>经费预算填报有何要求？</w:t>
      </w:r>
    </w:p>
    <w:p>
      <w:pPr>
        <w:pStyle w:val="BodyText"/>
        <w:spacing w:before="25"/>
        <w:ind w:firstLine="638"/>
      </w:pPr>
      <w:r>
        <w:rPr>
          <w:rFonts w:ascii="Microsoft JhengHei" w:eastAsia="Microsoft JhengHei"/>
          <w:b/>
          <w:spacing w:val="-10"/>
        </w:rPr>
        <w:t>答：</w:t>
      </w:r>
      <w:r>
        <w:rPr>
          <w:spacing w:val="-10"/>
        </w:rPr>
        <w:t>申请人应按照《国家社会科学基金管理办法》和《国</w:t>
      </w:r>
    </w:p>
    <w:p>
      <w:pPr>
        <w:pStyle w:val="BodyText"/>
        <w:spacing w:line="333" w:lineRule="auto"/>
        <w:ind w:right="259"/>
      </w:pPr>
      <w:r>
        <w:rPr>
          <w:spacing w:val="-11"/>
        </w:rPr>
        <w:t>家社会科学基金项目资金管理办法》</w:t>
      </w:r>
      <w:r>
        <w:rPr>
          <w:spacing w:val="-2"/>
        </w:rPr>
        <w:t>（详见全国社科工作办网站）要求，根据实际需要编制科学合理的经费预算。</w:t>
      </w:r>
    </w:p>
    <w:sectPr>
      <w:pgSz w:w="11910" w:h="16840"/>
      <w:pgMar w:header="0" w:footer="1005" w:top="1920" w:bottom="1200" w:left="16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Noto Sans SC">
    <w:altName w:val="Noto Sans SC"/>
    <w:charset w:val="80"/>
    <w:family w:val="swiss"/>
    <w:pitch w:val="variable"/>
  </w:font>
  <w:font w:name="Microsoft JhengHei">
    <w:altName w:val="Microsoft JhengHei"/>
    <w:charset w:val="0"/>
    <w:family w:val="swiss"/>
    <w:pitch w:val="variable"/>
  </w:font>
  <w:font w:name="宋体">
    <w:altName w:val="宋体"/>
    <w:charset w:val="86"/>
    <w:family w:val="auto"/>
    <w:pitch w:val="variable"/>
  </w:font>
</w:fonts>
</file>

<file path=word/footer1.xml><?xml version="1.0" encoding="utf-8"?>
<w:ftr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p>
    <w:pPr>
      <w:pStyle w:val="BodyText"/>
      <w:spacing w:line="14" w:lineRule="auto" w:before="0"/>
      <w:ind w:left="0"/>
      <w:rPr>
        <w:sz w:val="20"/>
      </w:rPr>
    </w:pPr>
    <w:r>
      <w:rPr/>
      <mc:AlternateContent>
        <mc:Choice Requires="wps">
          <w:drawing>
            <wp:anchor distT="0" distB="0" distL="0" distR="0" allowOverlap="1" layoutInCell="1" locked="0" behindDoc="1" simplePos="0" relativeHeight="487533056">
              <wp:simplePos x="0" y="0"/>
              <wp:positionH relativeFrom="page">
                <wp:posOffset>3713988</wp:posOffset>
              </wp:positionH>
              <wp:positionV relativeFrom="page">
                <wp:posOffset>9914001</wp:posOffset>
              </wp:positionV>
              <wp:extent cx="146050" cy="152400"/>
              <wp:effectExtent l="0" t="0" r="0" b="0"/>
              <wp:wrapNone/>
              <wp:docPr id="1" name="Textbox 1"/>
              <wp:cNvGraphicFramePr>
                <a:graphicFrameLocks/>
              </wp:cNvGraphicFramePr>
              <a:graphic>
                <a:graphicData uri="http://schemas.microsoft.com/office/word/2010/wordprocessingShape">
                  <wps:wsp>
                    <wps:cNvPr id="1" name="Textbox 1"/>
                    <wps:cNvSpPr txBox="1"/>
                    <wps:spPr>
                      <a:xfrm>
                        <a:off x="0" y="0"/>
                        <a:ext cx="146050" cy="152400"/>
                      </a:xfrm>
                      <a:prstGeom prst="rect">
                        <a:avLst/>
                      </a:prstGeom>
                    </wps:spPr>
                    <wps:txbx>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wps:txbx>
                    <wps:bodyPr wrap="square" lIns="0" tIns="0" rIns="0" bIns="0" rtlCol="0">
                      <a:noAutofit/>
                    </wps:bodyPr>
                  </wps:wsp>
                </a:graphicData>
              </a:graphic>
            </wp:anchor>
          </w:drawing>
        </mc:Choice>
        <mc:Fallback>
          <w:pict>
            <v:shapetype id="_x0000_t202" o:spt="202" coordsize="21600,21600" path="m,l,21600r21600,l21600,xe">
              <v:stroke joinstyle="miter"/>
              <v:path gradientshapeok="t" o:connecttype="rect"/>
            </v:shapetype>
            <v:shape style="position:absolute;margin-left:292.440002pt;margin-top:780.630005pt;width:11.5pt;height:12pt;mso-position-horizontal-relative:page;mso-position-vertical-relative:page;z-index:-15783424" type="#_x0000_t202" id="docshape1" filled="false" stroked="false">
              <v:textbox inset="0,0,0,0">
                <w:txbxContent>
                  <w:p>
                    <w:pPr>
                      <w:spacing w:before="12"/>
                      <w:ind w:left="60" w:right="0" w:firstLine="0"/>
                      <w:jc w:val="left"/>
                      <w:rPr>
                        <w:rFonts w:ascii="Times New Roman"/>
                        <w:sz w:val="18"/>
                      </w:rPr>
                    </w:pPr>
                    <w:r>
                      <w:rPr>
                        <w:rFonts w:ascii="Times New Roman"/>
                        <w:spacing w:val="-10"/>
                        <w:sz w:val="18"/>
                      </w:rPr>
                      <w:fldChar w:fldCharType="begin"/>
                    </w:r>
                    <w:r>
                      <w:rPr>
                        <w:rFonts w:ascii="Times New Roman"/>
                        <w:spacing w:val="-10"/>
                        <w:sz w:val="18"/>
                      </w:rPr>
                      <w:instrText> PAGE </w:instrText>
                    </w:r>
                    <w:r>
                      <w:rPr>
                        <w:rFonts w:ascii="Times New Roman"/>
                        <w:spacing w:val="-10"/>
                        <w:sz w:val="18"/>
                      </w:rPr>
                      <w:fldChar w:fldCharType="separate"/>
                    </w:r>
                    <w:r>
                      <w:rPr>
                        <w:rFonts w:ascii="Times New Roman"/>
                        <w:spacing w:val="-10"/>
                        <w:sz w:val="18"/>
                      </w:rPr>
                      <w:t>1</w:t>
                    </w:r>
                    <w:r>
                      <w:rPr>
                        <w:rFonts w:ascii="Times New Roman"/>
                        <w:spacing w:val="-10"/>
                        <w:sz w:val="18"/>
                      </w:rPr>
                      <w:fldChar w:fldCharType="end"/>
                    </w:r>
                  </w:p>
                </w:txbxContent>
              </v:textbox>
              <w10:wrap type="none"/>
            </v:shape>
          </w:pict>
        </mc:Fallback>
      </mc:AlternateConten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multiLevelType w:val="hybridMultilevel"/>
    <w:lvl w:ilvl="0">
      <w:start w:val="8"/>
      <w:numFmt w:val="decimal"/>
      <w:lvlText w:val="%1."/>
      <w:lvlJc w:val="left"/>
      <w:pPr>
        <w:ind w:left="101" w:hanging="242"/>
        <w:jc w:val="left"/>
      </w:pPr>
      <w:rPr>
        <w:rFonts w:hint="default" w:ascii="Times New Roman" w:hAnsi="Times New Roman" w:eastAsia="Times New Roman" w:cs="Times New Roman"/>
        <w:b/>
        <w:bCs/>
        <w:i w:val="0"/>
        <w:iCs w:val="0"/>
        <w:spacing w:val="-1"/>
        <w:w w:val="97"/>
        <w:sz w:val="30"/>
        <w:szCs w:val="30"/>
        <w:lang w:val="en-US" w:eastAsia="zh-CN" w:bidi="ar-SA"/>
      </w:rPr>
    </w:lvl>
    <w:lvl w:ilvl="1">
      <w:start w:val="0"/>
      <w:numFmt w:val="bullet"/>
      <w:lvlText w:val="•"/>
      <w:lvlJc w:val="left"/>
      <w:pPr>
        <w:ind w:left="976" w:hanging="242"/>
      </w:pPr>
      <w:rPr>
        <w:rFonts w:hint="default"/>
        <w:lang w:val="en-US" w:eastAsia="zh-CN" w:bidi="ar-SA"/>
      </w:rPr>
    </w:lvl>
    <w:lvl w:ilvl="2">
      <w:start w:val="0"/>
      <w:numFmt w:val="bullet"/>
      <w:lvlText w:val="•"/>
      <w:lvlJc w:val="left"/>
      <w:pPr>
        <w:ind w:left="1853" w:hanging="242"/>
      </w:pPr>
      <w:rPr>
        <w:rFonts w:hint="default"/>
        <w:lang w:val="en-US" w:eastAsia="zh-CN" w:bidi="ar-SA"/>
      </w:rPr>
    </w:lvl>
    <w:lvl w:ilvl="3">
      <w:start w:val="0"/>
      <w:numFmt w:val="bullet"/>
      <w:lvlText w:val="•"/>
      <w:lvlJc w:val="left"/>
      <w:pPr>
        <w:ind w:left="2729" w:hanging="242"/>
      </w:pPr>
      <w:rPr>
        <w:rFonts w:hint="default"/>
        <w:lang w:val="en-US" w:eastAsia="zh-CN" w:bidi="ar-SA"/>
      </w:rPr>
    </w:lvl>
    <w:lvl w:ilvl="4">
      <w:start w:val="0"/>
      <w:numFmt w:val="bullet"/>
      <w:lvlText w:val="•"/>
      <w:lvlJc w:val="left"/>
      <w:pPr>
        <w:ind w:left="3606" w:hanging="242"/>
      </w:pPr>
      <w:rPr>
        <w:rFonts w:hint="default"/>
        <w:lang w:val="en-US" w:eastAsia="zh-CN" w:bidi="ar-SA"/>
      </w:rPr>
    </w:lvl>
    <w:lvl w:ilvl="5">
      <w:start w:val="0"/>
      <w:numFmt w:val="bullet"/>
      <w:lvlText w:val="•"/>
      <w:lvlJc w:val="left"/>
      <w:pPr>
        <w:ind w:left="4483" w:hanging="242"/>
      </w:pPr>
      <w:rPr>
        <w:rFonts w:hint="default"/>
        <w:lang w:val="en-US" w:eastAsia="zh-CN" w:bidi="ar-SA"/>
      </w:rPr>
    </w:lvl>
    <w:lvl w:ilvl="6">
      <w:start w:val="0"/>
      <w:numFmt w:val="bullet"/>
      <w:lvlText w:val="•"/>
      <w:lvlJc w:val="left"/>
      <w:pPr>
        <w:ind w:left="5359" w:hanging="242"/>
      </w:pPr>
      <w:rPr>
        <w:rFonts w:hint="default"/>
        <w:lang w:val="en-US" w:eastAsia="zh-CN" w:bidi="ar-SA"/>
      </w:rPr>
    </w:lvl>
    <w:lvl w:ilvl="7">
      <w:start w:val="0"/>
      <w:numFmt w:val="bullet"/>
      <w:lvlText w:val="•"/>
      <w:lvlJc w:val="left"/>
      <w:pPr>
        <w:ind w:left="6236" w:hanging="242"/>
      </w:pPr>
      <w:rPr>
        <w:rFonts w:hint="default"/>
        <w:lang w:val="en-US" w:eastAsia="zh-CN" w:bidi="ar-SA"/>
      </w:rPr>
    </w:lvl>
    <w:lvl w:ilvl="8">
      <w:start w:val="0"/>
      <w:numFmt w:val="bullet"/>
      <w:lvlText w:val="•"/>
      <w:lvlJc w:val="left"/>
      <w:pPr>
        <w:ind w:left="7112" w:hanging="242"/>
      </w:pPr>
      <w:rPr>
        <w:rFonts w:hint="default"/>
        <w:lang w:val="en-US" w:eastAsia="zh-CN" w:bidi="ar-SA"/>
      </w:rPr>
    </w:lvl>
  </w:abstractNum>
  <w:abstractNum w:abstractNumId="0">
    <w:multiLevelType w:val="hybridMultilevel"/>
    <w:lvl w:ilvl="0">
      <w:start w:val="1"/>
      <w:numFmt w:val="decimal"/>
      <w:lvlText w:val="%1."/>
      <w:lvlJc w:val="left"/>
      <w:pPr>
        <w:ind w:left="101" w:hanging="245"/>
        <w:jc w:val="left"/>
      </w:pPr>
      <w:rPr>
        <w:rFonts w:hint="default" w:ascii="Times New Roman" w:hAnsi="Times New Roman" w:eastAsia="Times New Roman" w:cs="Times New Roman"/>
        <w:b/>
        <w:bCs/>
        <w:i w:val="0"/>
        <w:iCs w:val="0"/>
        <w:spacing w:val="1"/>
        <w:w w:val="95"/>
        <w:sz w:val="30"/>
        <w:szCs w:val="30"/>
        <w:lang w:val="en-US" w:eastAsia="zh-CN" w:bidi="ar-SA"/>
      </w:rPr>
    </w:lvl>
    <w:lvl w:ilvl="1">
      <w:start w:val="0"/>
      <w:numFmt w:val="bullet"/>
      <w:lvlText w:val="•"/>
      <w:lvlJc w:val="left"/>
      <w:pPr>
        <w:ind w:left="976" w:hanging="245"/>
      </w:pPr>
      <w:rPr>
        <w:rFonts w:hint="default"/>
        <w:lang w:val="en-US" w:eastAsia="zh-CN" w:bidi="ar-SA"/>
      </w:rPr>
    </w:lvl>
    <w:lvl w:ilvl="2">
      <w:start w:val="0"/>
      <w:numFmt w:val="bullet"/>
      <w:lvlText w:val="•"/>
      <w:lvlJc w:val="left"/>
      <w:pPr>
        <w:ind w:left="1853" w:hanging="245"/>
      </w:pPr>
      <w:rPr>
        <w:rFonts w:hint="default"/>
        <w:lang w:val="en-US" w:eastAsia="zh-CN" w:bidi="ar-SA"/>
      </w:rPr>
    </w:lvl>
    <w:lvl w:ilvl="3">
      <w:start w:val="0"/>
      <w:numFmt w:val="bullet"/>
      <w:lvlText w:val="•"/>
      <w:lvlJc w:val="left"/>
      <w:pPr>
        <w:ind w:left="2729" w:hanging="245"/>
      </w:pPr>
      <w:rPr>
        <w:rFonts w:hint="default"/>
        <w:lang w:val="en-US" w:eastAsia="zh-CN" w:bidi="ar-SA"/>
      </w:rPr>
    </w:lvl>
    <w:lvl w:ilvl="4">
      <w:start w:val="0"/>
      <w:numFmt w:val="bullet"/>
      <w:lvlText w:val="•"/>
      <w:lvlJc w:val="left"/>
      <w:pPr>
        <w:ind w:left="3606" w:hanging="245"/>
      </w:pPr>
      <w:rPr>
        <w:rFonts w:hint="default"/>
        <w:lang w:val="en-US" w:eastAsia="zh-CN" w:bidi="ar-SA"/>
      </w:rPr>
    </w:lvl>
    <w:lvl w:ilvl="5">
      <w:start w:val="0"/>
      <w:numFmt w:val="bullet"/>
      <w:lvlText w:val="•"/>
      <w:lvlJc w:val="left"/>
      <w:pPr>
        <w:ind w:left="4483" w:hanging="245"/>
      </w:pPr>
      <w:rPr>
        <w:rFonts w:hint="default"/>
        <w:lang w:val="en-US" w:eastAsia="zh-CN" w:bidi="ar-SA"/>
      </w:rPr>
    </w:lvl>
    <w:lvl w:ilvl="6">
      <w:start w:val="0"/>
      <w:numFmt w:val="bullet"/>
      <w:lvlText w:val="•"/>
      <w:lvlJc w:val="left"/>
      <w:pPr>
        <w:ind w:left="5359" w:hanging="245"/>
      </w:pPr>
      <w:rPr>
        <w:rFonts w:hint="default"/>
        <w:lang w:val="en-US" w:eastAsia="zh-CN" w:bidi="ar-SA"/>
      </w:rPr>
    </w:lvl>
    <w:lvl w:ilvl="7">
      <w:start w:val="0"/>
      <w:numFmt w:val="bullet"/>
      <w:lvlText w:val="•"/>
      <w:lvlJc w:val="left"/>
      <w:pPr>
        <w:ind w:left="6236" w:hanging="245"/>
      </w:pPr>
      <w:rPr>
        <w:rFonts w:hint="default"/>
        <w:lang w:val="en-US" w:eastAsia="zh-CN" w:bidi="ar-SA"/>
      </w:rPr>
    </w:lvl>
    <w:lvl w:ilvl="8">
      <w:start w:val="0"/>
      <w:numFmt w:val="bullet"/>
      <w:lvlText w:val="•"/>
      <w:lvlJc w:val="left"/>
      <w:pPr>
        <w:ind w:left="7112" w:hanging="245"/>
      </w:pPr>
      <w:rPr>
        <w:rFonts w:hint="default"/>
        <w:lang w:val="en-US" w:eastAsia="zh-CN" w:bidi="ar-SA"/>
      </w:rPr>
    </w:lvl>
  </w:abstract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宋体" w:hAnsi="宋体" w:eastAsia="宋体" w:cs="宋体"/>
      <w:lang w:val="en-US" w:eastAsia="zh-CN" w:bidi="ar-SA"/>
    </w:rPr>
  </w:style>
  <w:style w:styleId="BodyText" w:type="paragraph">
    <w:name w:val="Body Text"/>
    <w:basedOn w:val="Normal"/>
    <w:uiPriority w:val="1"/>
    <w:qFormat/>
    <w:pPr>
      <w:spacing w:before="92"/>
      <w:ind w:left="101"/>
    </w:pPr>
    <w:rPr>
      <w:rFonts w:ascii="宋体" w:hAnsi="宋体" w:eastAsia="宋体" w:cs="宋体"/>
      <w:sz w:val="32"/>
      <w:szCs w:val="32"/>
      <w:lang w:val="en-US" w:eastAsia="zh-CN" w:bidi="ar-SA"/>
    </w:rPr>
  </w:style>
  <w:style w:styleId="Heading1" w:type="paragraph">
    <w:name w:val="Heading 1"/>
    <w:basedOn w:val="Normal"/>
    <w:uiPriority w:val="1"/>
    <w:qFormat/>
    <w:pPr>
      <w:ind w:left="1139" w:hanging="399"/>
      <w:outlineLvl w:val="1"/>
    </w:pPr>
    <w:rPr>
      <w:rFonts w:ascii="Microsoft JhengHei" w:hAnsi="Microsoft JhengHei" w:eastAsia="Microsoft JhengHei" w:cs="Microsoft JhengHei"/>
      <w:b/>
      <w:bCs/>
      <w:sz w:val="32"/>
      <w:szCs w:val="32"/>
      <w:lang w:val="en-US" w:eastAsia="zh-CN" w:bidi="ar-SA"/>
    </w:rPr>
  </w:style>
  <w:style w:styleId="Title" w:type="paragraph">
    <w:name w:val="Title"/>
    <w:basedOn w:val="Normal"/>
    <w:uiPriority w:val="1"/>
    <w:qFormat/>
    <w:pPr>
      <w:spacing w:before="399"/>
      <w:ind w:left="3468" w:right="1145" w:hanging="2487"/>
    </w:pPr>
    <w:rPr>
      <w:rFonts w:ascii="Noto Sans SC" w:hAnsi="Noto Sans SC" w:eastAsia="Noto Sans SC" w:cs="Noto Sans SC"/>
      <w:b/>
      <w:bCs/>
      <w:sz w:val="44"/>
      <w:szCs w:val="44"/>
      <w:lang w:val="en-US" w:eastAsia="zh-CN" w:bidi="ar-SA"/>
    </w:rPr>
  </w:style>
  <w:style w:styleId="ListParagraph" w:type="paragraph">
    <w:name w:val="List Paragraph"/>
    <w:basedOn w:val="Normal"/>
    <w:uiPriority w:val="1"/>
    <w:qFormat/>
    <w:pPr>
      <w:ind w:left="1139" w:hanging="399"/>
    </w:pPr>
    <w:rPr>
      <w:rFonts w:ascii="Microsoft JhengHei" w:hAnsi="Microsoft JhengHei" w:eastAsia="Microsoft JhengHei" w:cs="Microsoft JhengHei"/>
      <w:lang w:val="en-US" w:eastAsia="zh-CN" w:bidi="ar-SA"/>
    </w:rPr>
  </w:style>
  <w:style w:styleId="TableParagraph" w:type="paragraph">
    <w:name w:val="Table Paragraph"/>
    <w:basedOn w:val="Normal"/>
    <w:uiPriority w:val="1"/>
    <w:qFormat/>
    <w:pPr/>
    <w:rPr>
      <w:lang w:val="en-US" w:eastAsia="zh-CN"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dc:description/>
  <dcterms:created xsi:type="dcterms:W3CDTF">2024-04-18T02:45:31Z</dcterms:created>
  <dcterms:modified xsi:type="dcterms:W3CDTF">2024-04-18T02:45:31Z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2024-04-11T00:00:00Z</vt:filetime>
  </property>
  <property fmtid="{D5CDD505-2E9C-101B-9397-08002B2CF9AE}" pid="3" name="Creator">
    <vt:lpwstr>WPS 文字</vt:lpwstr>
  </property>
  <property fmtid="{D5CDD505-2E9C-101B-9397-08002B2CF9AE}" pid="4" name="LastSaved">
    <vt:filetime>2024-04-18T00:00:00Z</vt:filetime>
  </property>
  <property fmtid="{D5CDD505-2E9C-101B-9397-08002B2CF9AE}" pid="5" name="SourceModified">
    <vt:lpwstr>D:20240411180202+10'02'</vt:lpwstr>
  </property>
</Properties>
</file>