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2"/>
          <w:w w:val="85"/>
        </w:rPr>
        <w:t>北京市社会科学基金青年学术带头人项目实施办法</w:t>
      </w:r>
    </w:p>
    <w:p>
      <w:pPr>
        <w:pStyle w:val="BodyText"/>
        <w:spacing w:before="112"/>
        <w:ind w:left="3112"/>
      </w:pPr>
      <w:r>
        <w:rPr>
          <w:spacing w:val="-4"/>
        </w:rPr>
        <w:t>（2024</w:t>
      </w:r>
      <w:r>
        <w:rPr>
          <w:spacing w:val="-51"/>
        </w:rPr>
        <w:t> 年 </w:t>
      </w:r>
      <w:r>
        <w:rPr>
          <w:spacing w:val="-4"/>
        </w:rPr>
        <w:t>4</w:t>
      </w:r>
      <w:r>
        <w:rPr>
          <w:spacing w:val="-22"/>
        </w:rPr>
        <w:t> 月修订</w:t>
      </w:r>
      <w:r>
        <w:rPr>
          <w:spacing w:val="-10"/>
        </w:rPr>
        <w:t>）</w:t>
      </w:r>
    </w:p>
    <w:p>
      <w:pPr>
        <w:pStyle w:val="BodyText"/>
        <w:spacing w:before="288"/>
        <w:ind w:left="0"/>
      </w:pPr>
    </w:p>
    <w:p>
      <w:pPr>
        <w:pStyle w:val="BodyText"/>
        <w:spacing w:before="1"/>
        <w:ind w:left="3232"/>
        <w:rPr>
          <w:rFonts w:ascii="黑体" w:eastAsia="黑体"/>
        </w:rPr>
      </w:pPr>
      <w:r>
        <w:rPr>
          <w:rFonts w:ascii="黑体" w:eastAsia="黑体"/>
        </w:rPr>
        <w:t>第一章</w:t>
      </w:r>
      <w:r>
        <w:rPr>
          <w:rFonts w:ascii="黑体" w:eastAsia="黑体"/>
          <w:spacing w:val="71"/>
          <w:w w:val="150"/>
        </w:rPr>
        <w:t> </w:t>
      </w:r>
      <w:r>
        <w:rPr>
          <w:rFonts w:ascii="黑体" w:eastAsia="黑体"/>
          <w:spacing w:val="-4"/>
        </w:rPr>
        <w:t>总 则</w:t>
      </w:r>
    </w:p>
    <w:p>
      <w:pPr>
        <w:pStyle w:val="BodyText"/>
        <w:spacing w:line="271" w:lineRule="auto" w:before="78"/>
        <w:ind w:right="420" w:firstLine="640"/>
        <w:jc w:val="both"/>
      </w:pPr>
      <w:r>
        <w:rPr>
          <w:rFonts w:ascii="Microsoft JhengHei" w:eastAsia="Microsoft JhengHei"/>
          <w:b/>
        </w:rPr>
        <w:t>第一条 </w:t>
      </w:r>
      <w:r>
        <w:rPr/>
        <w:t>为培养哲学社会科学优秀青年人才，加强哲学</w:t>
      </w:r>
      <w:r>
        <w:rPr>
          <w:spacing w:val="-5"/>
        </w:rPr>
        <w:t>社会科学人才队伍建设，设立北京市社会科学基金青年学术</w:t>
      </w:r>
    </w:p>
    <w:p>
      <w:pPr>
        <w:pStyle w:val="BodyText"/>
        <w:spacing w:line="324" w:lineRule="auto" w:before="90"/>
        <w:ind w:right="420"/>
        <w:jc w:val="both"/>
      </w:pPr>
      <w:r>
        <w:rPr>
          <w:spacing w:val="-2"/>
        </w:rPr>
        <w:t>带头人项目（</w:t>
      </w:r>
      <w:r>
        <w:rPr>
          <w:spacing w:val="-13"/>
        </w:rPr>
        <w:t>以下简称“青年学术带头人项目”</w:t>
      </w:r>
      <w:r>
        <w:rPr>
          <w:spacing w:val="-160"/>
        </w:rPr>
        <w:t>）</w:t>
      </w:r>
      <w:r>
        <w:rPr>
          <w:spacing w:val="-2"/>
        </w:rPr>
        <w:t>。为规范项目管理，提高资金使用效率，促进多出优秀成果、多出优秀人才，有效发挥北京市社会科学基金的示范引导作用，制定</w:t>
      </w:r>
      <w:r>
        <w:rPr>
          <w:spacing w:val="-4"/>
        </w:rPr>
        <w:t>本办法。</w:t>
      </w:r>
    </w:p>
    <w:p>
      <w:pPr>
        <w:pStyle w:val="BodyText"/>
        <w:spacing w:line="271" w:lineRule="auto" w:before="84"/>
        <w:ind w:right="402" w:firstLine="640"/>
        <w:jc w:val="both"/>
      </w:pPr>
      <w:r>
        <w:rPr>
          <w:rFonts w:ascii="Microsoft JhengHei" w:hAnsi="Microsoft JhengHei" w:eastAsia="Microsoft JhengHei"/>
          <w:b/>
        </w:rPr>
        <w:t>第二条 </w:t>
      </w:r>
      <w:r>
        <w:rPr/>
        <w:t>青年学术带头人项目坚持以马克思列宁主义、</w:t>
      </w:r>
      <w:r>
        <w:rPr>
          <w:spacing w:val="-12"/>
        </w:rPr>
        <w:t>毛泽东思想、邓小平理论、“三个代表”重要思想、科学发</w:t>
      </w:r>
    </w:p>
    <w:p>
      <w:pPr>
        <w:pStyle w:val="BodyText"/>
        <w:spacing w:line="324" w:lineRule="auto" w:before="90"/>
        <w:ind w:right="417"/>
        <w:jc w:val="both"/>
      </w:pPr>
      <w:r>
        <w:rPr>
          <w:spacing w:val="-2"/>
        </w:rPr>
        <w:t>展观、习近平新时代中国特色社会主义思想为指导，坚持正确的政治方向、学术导向和价值取向，着力发现、培养、集聚一批以马克思主义为指导、理论功底扎实、勇于开拓创新的优秀青年社科人才，着力形成培养哲学社会科学人才的良好激励机制，为哲学社会科学事业繁荣发展提供可持续的人</w:t>
      </w:r>
      <w:r>
        <w:rPr>
          <w:spacing w:val="-4"/>
        </w:rPr>
        <w:t>才支撑。</w:t>
      </w:r>
    </w:p>
    <w:p>
      <w:pPr>
        <w:pStyle w:val="BodyText"/>
        <w:spacing w:line="560" w:lineRule="exact" w:before="25"/>
        <w:ind w:right="417" w:firstLine="640"/>
        <w:jc w:val="both"/>
      </w:pPr>
      <w:r>
        <w:rPr>
          <w:rFonts w:ascii="Microsoft JhengHei" w:eastAsia="Microsoft JhengHei"/>
          <w:b/>
          <w:spacing w:val="7"/>
        </w:rPr>
        <w:t>第三条 </w:t>
      </w:r>
      <w:r>
        <w:rPr>
          <w:spacing w:val="11"/>
        </w:rPr>
        <w:t>青年学术带头人项目为北京市社会科学基金</w:t>
      </w:r>
      <w:r>
        <w:rPr>
          <w:spacing w:val="-2"/>
        </w:rPr>
        <w:t>重点项目。资助对象包括北京地区高等学校、党校（行政学</w:t>
      </w:r>
      <w:r>
        <w:rPr/>
        <w:t>院</w:t>
      </w:r>
      <w:r>
        <w:rPr>
          <w:spacing w:val="-151"/>
        </w:rPr>
        <w:t>）</w:t>
      </w:r>
      <w:r>
        <w:rPr/>
        <w:t>、科研院（所）</w:t>
      </w:r>
      <w:r>
        <w:rPr>
          <w:spacing w:val="-1"/>
        </w:rPr>
        <w:t>的青年科研人员。重点支持基础性、前</w:t>
      </w:r>
    </w:p>
    <w:p>
      <w:pPr>
        <w:pStyle w:val="BodyText"/>
        <w:spacing w:before="122"/>
      </w:pPr>
      <w:r>
        <w:rPr>
          <w:spacing w:val="-5"/>
        </w:rPr>
        <w:t>瞻性理论问题或关系国家重大现实问题的研究。</w:t>
      </w:r>
    </w:p>
    <w:p>
      <w:pPr>
        <w:pStyle w:val="BodyText"/>
        <w:tabs>
          <w:tab w:pos="2044" w:val="left" w:leader="none"/>
        </w:tabs>
        <w:spacing w:line="271" w:lineRule="auto" w:before="79"/>
        <w:ind w:right="101" w:firstLine="640"/>
      </w:pPr>
      <w:r>
        <w:rPr>
          <w:rFonts w:ascii="Microsoft JhengHei" w:eastAsia="Microsoft JhengHei"/>
          <w:b/>
          <w:spacing w:val="-4"/>
        </w:rPr>
        <w:t>第四条</w:t>
      </w:r>
      <w:r>
        <w:rPr>
          <w:rFonts w:ascii="Microsoft JhengHei" w:eastAsia="Microsoft JhengHei"/>
          <w:b/>
        </w:rPr>
        <w:tab/>
      </w:r>
      <w:r>
        <w:rPr>
          <w:spacing w:val="-2"/>
        </w:rPr>
        <w:t>青年学术带头人项目坚持公开遴选、多元培养</w:t>
      </w:r>
      <w:r>
        <w:rPr>
          <w:spacing w:val="-2"/>
        </w:rPr>
        <w:t>、目标管理的原则，充分发挥哲学社会科学界专家学者和学术</w:t>
      </w:r>
    </w:p>
    <w:p>
      <w:pPr>
        <w:spacing w:after="0" w:line="271" w:lineRule="auto"/>
        <w:sectPr>
          <w:footerReference w:type="default" r:id="rId5"/>
          <w:type w:val="continuous"/>
          <w:pgSz w:w="11910" w:h="16840"/>
          <w:pgMar w:header="0" w:footer="979" w:top="1400" w:bottom="1160" w:left="1680" w:right="1380"/>
          <w:pgNumType w:start="1"/>
        </w:sectPr>
      </w:pPr>
    </w:p>
    <w:p>
      <w:pPr>
        <w:pStyle w:val="BodyText"/>
        <w:spacing w:line="324" w:lineRule="auto" w:before="26"/>
        <w:ind w:right="417"/>
        <w:jc w:val="both"/>
      </w:pPr>
      <w:r>
        <w:rPr>
          <w:spacing w:val="-2"/>
        </w:rPr>
        <w:t>社团的作用，为青年学者的成长搭建跨校际、跨学科、跨领</w:t>
      </w:r>
      <w:r>
        <w:rPr/>
        <w:t>域的人才支撑平台，3</w:t>
      </w:r>
      <w:r>
        <w:rPr>
          <w:spacing w:val="-7"/>
        </w:rPr>
        <w:t> 个自然年为一个周期，一期结束后开</w:t>
      </w:r>
      <w:r>
        <w:rPr>
          <w:spacing w:val="-2"/>
        </w:rPr>
        <w:t>启下一周期。通过北京市社科联委员和学界知名专家学者双导师联合培养，以青年学者与课题导师、学术社团共商的方</w:t>
      </w:r>
      <w:r>
        <w:rPr>
          <w:spacing w:val="-17"/>
        </w:rPr>
        <w:t>式，完成 </w:t>
      </w:r>
      <w:r>
        <w:rPr>
          <w:spacing w:val="-4"/>
        </w:rPr>
        <w:t>1</w:t>
      </w:r>
      <w:r>
        <w:rPr>
          <w:spacing w:val="-13"/>
        </w:rPr>
        <w:t> 项北京市社会科学基金课题。每期立项课题不超</w:t>
      </w:r>
    </w:p>
    <w:p>
      <w:pPr>
        <w:pStyle w:val="BodyText"/>
        <w:spacing w:line="406" w:lineRule="exact" w:before="0"/>
        <w:jc w:val="both"/>
      </w:pPr>
      <w:r>
        <w:rPr>
          <w:spacing w:val="-41"/>
        </w:rPr>
        <w:t>过 </w:t>
      </w:r>
      <w:r>
        <w:rPr>
          <w:spacing w:val="-4"/>
        </w:rPr>
        <w:t>100</w:t>
      </w:r>
      <w:r>
        <w:rPr>
          <w:spacing w:val="-31"/>
        </w:rPr>
        <w:t> 项。</w:t>
      </w:r>
    </w:p>
    <w:p>
      <w:pPr>
        <w:pStyle w:val="BodyText"/>
        <w:spacing w:line="560" w:lineRule="exact" w:before="23"/>
        <w:ind w:right="417" w:firstLine="640"/>
        <w:jc w:val="both"/>
      </w:pPr>
      <w:r>
        <w:rPr>
          <w:rFonts w:ascii="Microsoft JhengHei" w:hAnsi="Microsoft JhengHei" w:eastAsia="Microsoft JhengHei"/>
          <w:b/>
        </w:rPr>
        <w:t>第五条 </w:t>
      </w:r>
      <w:r>
        <w:rPr/>
        <w:t>青年学术带头人项目实行两级管理。北京市社</w:t>
      </w:r>
      <w:r>
        <w:rPr>
          <w:spacing w:val="-2"/>
        </w:rPr>
        <w:t>会科学界联合会、北京市哲学社会科学规划办公室（以下简</w:t>
      </w:r>
      <w:r>
        <w:rPr>
          <w:spacing w:val="-4"/>
        </w:rPr>
        <w:t>称“市社科联、市社科规划办”）</w:t>
      </w:r>
      <w:r>
        <w:rPr>
          <w:spacing w:val="-5"/>
        </w:rPr>
        <w:t>负责青年学术带头人项目</w:t>
      </w:r>
    </w:p>
    <w:p>
      <w:pPr>
        <w:pStyle w:val="BodyText"/>
        <w:spacing w:line="321" w:lineRule="auto" w:before="122"/>
        <w:ind w:right="259"/>
      </w:pPr>
      <w:r>
        <w:rPr>
          <w:spacing w:val="-2"/>
        </w:rPr>
        <w:t>的组织实施；北京地区高等学校、党校（行政学院）、科研</w:t>
      </w:r>
      <w:r>
        <w:rPr>
          <w:spacing w:val="-87"/>
        </w:rPr>
        <w:t>院</w:t>
      </w:r>
      <w:r>
        <w:rPr>
          <w:spacing w:val="-2"/>
        </w:rPr>
        <w:t>（所</w:t>
      </w:r>
      <w:r>
        <w:rPr>
          <w:spacing w:val="-87"/>
        </w:rPr>
        <w:t>）</w:t>
      </w:r>
      <w:r>
        <w:rPr>
          <w:spacing w:val="-2"/>
        </w:rPr>
        <w:t>负责本单位承担的青年学术带头人项目的日常管理。</w:t>
      </w:r>
    </w:p>
    <w:p>
      <w:pPr>
        <w:pStyle w:val="BodyText"/>
        <w:spacing w:before="160"/>
        <w:ind w:left="0" w:right="300"/>
        <w:jc w:val="center"/>
        <w:rPr>
          <w:rFonts w:ascii="黑体" w:eastAsia="黑体"/>
        </w:rPr>
      </w:pPr>
      <w:r>
        <w:rPr>
          <w:rFonts w:ascii="黑体" w:eastAsia="黑体"/>
        </w:rPr>
        <w:t>第二章</w:t>
      </w:r>
      <w:r>
        <w:rPr>
          <w:rFonts w:ascii="黑体" w:eastAsia="黑体"/>
          <w:spacing w:val="63"/>
          <w:w w:val="150"/>
        </w:rPr>
        <w:t> </w:t>
      </w:r>
      <w:r>
        <w:rPr>
          <w:rFonts w:ascii="黑体" w:eastAsia="黑体"/>
          <w:spacing w:val="-3"/>
        </w:rPr>
        <w:t>项目申报</w:t>
      </w:r>
    </w:p>
    <w:p>
      <w:pPr>
        <w:pStyle w:val="BodyText"/>
        <w:tabs>
          <w:tab w:pos="2042" w:val="left" w:leader="none"/>
        </w:tabs>
        <w:spacing w:line="560" w:lineRule="exact" w:before="179"/>
        <w:ind w:right="259" w:firstLine="640"/>
      </w:pPr>
      <w:r>
        <w:rPr>
          <w:rFonts w:ascii="Microsoft JhengHei" w:eastAsia="Microsoft JhengHei"/>
          <w:b/>
          <w:spacing w:val="-4"/>
        </w:rPr>
        <w:t>第六条</w:t>
      </w:r>
      <w:r>
        <w:rPr>
          <w:rFonts w:ascii="Microsoft JhengHei" w:eastAsia="Microsoft JhengHei"/>
          <w:b/>
        </w:rPr>
        <w:tab/>
      </w:r>
      <w:r>
        <w:rPr>
          <w:spacing w:val="-2"/>
        </w:rPr>
        <w:t>青年学术带头人项目的申报</w:t>
      </w:r>
      <w:r>
        <w:rPr>
          <w:spacing w:val="-89"/>
        </w:rPr>
        <w:t>、</w:t>
      </w:r>
      <w:r>
        <w:rPr>
          <w:spacing w:val="-2"/>
        </w:rPr>
        <w:t>评审</w:t>
      </w:r>
      <w:r>
        <w:rPr>
          <w:spacing w:val="-89"/>
        </w:rPr>
        <w:t>、</w:t>
      </w:r>
      <w:r>
        <w:rPr>
          <w:spacing w:val="-2"/>
        </w:rPr>
        <w:t>立项工作,</w:t>
      </w:r>
      <w:r>
        <w:rPr>
          <w:spacing w:val="-8"/>
        </w:rPr>
        <w:t>遵循公开、公平、公正、竞争、择优的原则，采取公开申报、</w:t>
      </w:r>
      <w:r>
        <w:rPr>
          <w:spacing w:val="-2"/>
        </w:rPr>
        <w:t>同行评审的形式择优立项。</w:t>
      </w:r>
    </w:p>
    <w:p>
      <w:pPr>
        <w:tabs>
          <w:tab w:pos="2042" w:val="left" w:leader="none"/>
        </w:tabs>
        <w:spacing w:before="58"/>
        <w:ind w:left="760" w:right="0" w:firstLine="0"/>
        <w:jc w:val="left"/>
        <w:rPr>
          <w:sz w:val="32"/>
        </w:rPr>
      </w:pPr>
      <w:r>
        <w:rPr>
          <w:rFonts w:ascii="Microsoft JhengHei" w:eastAsia="Microsoft JhengHei"/>
          <w:b/>
          <w:spacing w:val="-4"/>
          <w:sz w:val="32"/>
        </w:rPr>
        <w:t>第七</w:t>
      </w:r>
      <w:r>
        <w:rPr>
          <w:rFonts w:ascii="Microsoft JhengHei" w:eastAsia="Microsoft JhengHei"/>
          <w:b/>
          <w:spacing w:val="-10"/>
          <w:sz w:val="32"/>
        </w:rPr>
        <w:t>条</w:t>
      </w:r>
      <w:r>
        <w:rPr>
          <w:rFonts w:ascii="Microsoft JhengHei" w:eastAsia="Microsoft JhengHei"/>
          <w:b/>
          <w:sz w:val="32"/>
        </w:rPr>
        <w:tab/>
      </w:r>
      <w:r>
        <w:rPr>
          <w:spacing w:val="-4"/>
          <w:sz w:val="32"/>
        </w:rPr>
        <w:t>申请人应具备以下条件</w:t>
      </w:r>
      <w:r>
        <w:rPr>
          <w:spacing w:val="-10"/>
          <w:sz w:val="32"/>
        </w:rPr>
        <w:t>：</w:t>
      </w:r>
    </w:p>
    <w:p>
      <w:pPr>
        <w:pStyle w:val="BodyText"/>
        <w:spacing w:line="324" w:lineRule="auto"/>
        <w:ind w:right="259" w:firstLine="640"/>
      </w:pPr>
      <w:r>
        <w:rPr>
          <w:spacing w:val="-2"/>
        </w:rPr>
        <w:t>（一）遵守中华人民共和国宪法和法律，拥护中国共产</w:t>
      </w:r>
      <w:r>
        <w:rPr>
          <w:spacing w:val="-14"/>
        </w:rPr>
        <w:t>党领导和社会主义制度。坚持马克思主义方法论，正本清源、</w:t>
      </w:r>
      <w:r>
        <w:rPr>
          <w:spacing w:val="-2"/>
        </w:rPr>
        <w:t>守正创新，坚持以人民为中心，为党和人民述学立论；</w:t>
      </w:r>
    </w:p>
    <w:p>
      <w:pPr>
        <w:pStyle w:val="BodyText"/>
        <w:spacing w:line="321" w:lineRule="auto" w:before="0"/>
        <w:ind w:right="420" w:firstLine="640"/>
      </w:pPr>
      <w:r>
        <w:rPr>
          <w:spacing w:val="-2"/>
        </w:rPr>
        <w:t>（二）具有独立开展研究和组织开展研究的能力，能够承担实质性研究工作；</w:t>
      </w:r>
    </w:p>
    <w:p>
      <w:pPr>
        <w:pStyle w:val="BodyText"/>
        <w:spacing w:line="321" w:lineRule="auto" w:before="1"/>
        <w:ind w:right="420" w:firstLine="640"/>
        <w:jc w:val="both"/>
      </w:pPr>
      <w:r>
        <w:rPr>
          <w:spacing w:val="-2"/>
        </w:rPr>
        <w:t>（三）恪守学术道德，坚守学术诚信，坚持实事求是的优良学风和求真求实的科学精神，具有坚实的理论基础、较</w:t>
      </w:r>
      <w:r>
        <w:rPr>
          <w:spacing w:val="-5"/>
        </w:rPr>
        <w:t>强的学术创新能力、较高的学术造诣和发展潜力，在相关学</w:t>
      </w:r>
    </w:p>
    <w:p>
      <w:pPr>
        <w:spacing w:after="0" w:line="321" w:lineRule="auto"/>
        <w:jc w:val="both"/>
        <w:sectPr>
          <w:pgSz w:w="11910" w:h="16840"/>
          <w:pgMar w:header="0" w:footer="979" w:top="1520" w:bottom="1160" w:left="1680" w:right="1380"/>
        </w:sectPr>
      </w:pPr>
    </w:p>
    <w:p>
      <w:pPr>
        <w:pStyle w:val="BodyText"/>
        <w:spacing w:before="26"/>
      </w:pPr>
      <w:r>
        <w:rPr>
          <w:spacing w:val="-5"/>
        </w:rPr>
        <w:t>科领域崭露头角；</w:t>
      </w:r>
    </w:p>
    <w:p>
      <w:pPr>
        <w:pStyle w:val="BodyText"/>
        <w:spacing w:before="143"/>
        <w:ind w:left="760"/>
      </w:pPr>
      <w:r>
        <w:rPr/>
        <w:t>（四）</w:t>
      </w:r>
      <w:r>
        <w:rPr>
          <w:spacing w:val="-3"/>
        </w:rPr>
        <w:t>具有全日制研究生学历，年龄在 </w:t>
      </w:r>
      <w:r>
        <w:rPr/>
        <w:t>39</w:t>
      </w:r>
      <w:r>
        <w:rPr>
          <w:spacing w:val="-12"/>
        </w:rPr>
        <w:t> 周岁</w:t>
      </w:r>
      <w:r>
        <w:rPr/>
        <w:t>（含</w:t>
      </w:r>
      <w:r>
        <w:rPr>
          <w:spacing w:val="-10"/>
        </w:rPr>
        <w:t>）</w:t>
      </w:r>
    </w:p>
    <w:p>
      <w:pPr>
        <w:pStyle w:val="BodyText"/>
        <w:spacing w:line="324" w:lineRule="auto" w:before="143"/>
        <w:ind w:right="420"/>
      </w:pPr>
      <w:r>
        <w:rPr/>
        <w:t>以下（</w:t>
      </w:r>
      <w:r>
        <w:rPr>
          <w:spacing w:val="-12"/>
        </w:rPr>
        <w:t>以申报年 </w:t>
      </w:r>
      <w:r>
        <w:rPr/>
        <w:t>1</w:t>
      </w:r>
      <w:r>
        <w:rPr>
          <w:spacing w:val="-36"/>
        </w:rPr>
        <w:t> 月 </w:t>
      </w:r>
      <w:r>
        <w:rPr/>
        <w:t>1</w:t>
      </w:r>
      <w:r>
        <w:rPr>
          <w:spacing w:val="-15"/>
        </w:rPr>
        <w:t> 日为准</w:t>
      </w:r>
      <w:r>
        <w:rPr>
          <w:spacing w:val="-154"/>
        </w:rPr>
        <w:t>）</w:t>
      </w:r>
      <w:r>
        <w:rPr/>
        <w:t>。在读博士生或在站博士后</w:t>
      </w:r>
      <w:r>
        <w:rPr>
          <w:spacing w:val="-2"/>
        </w:rPr>
        <w:t>不可申请。</w:t>
      </w:r>
    </w:p>
    <w:p>
      <w:pPr>
        <w:tabs>
          <w:tab w:pos="2044" w:val="left" w:leader="none"/>
        </w:tabs>
        <w:spacing w:line="486" w:lineRule="exact" w:before="0"/>
        <w:ind w:left="760" w:right="0" w:firstLine="0"/>
        <w:jc w:val="left"/>
        <w:rPr>
          <w:sz w:val="32"/>
        </w:rPr>
      </w:pPr>
      <w:r>
        <w:rPr>
          <w:rFonts w:ascii="Microsoft JhengHei" w:eastAsia="Microsoft JhengHei"/>
          <w:b/>
          <w:spacing w:val="-4"/>
          <w:sz w:val="32"/>
        </w:rPr>
        <w:t>第八</w:t>
      </w:r>
      <w:r>
        <w:rPr>
          <w:rFonts w:ascii="Microsoft JhengHei" w:eastAsia="Microsoft JhengHei"/>
          <w:b/>
          <w:spacing w:val="-10"/>
          <w:sz w:val="32"/>
        </w:rPr>
        <w:t>条</w:t>
      </w:r>
      <w:r>
        <w:rPr>
          <w:rFonts w:ascii="Microsoft JhengHei" w:eastAsia="Microsoft JhengHei"/>
          <w:b/>
          <w:sz w:val="32"/>
        </w:rPr>
        <w:tab/>
      </w:r>
      <w:r>
        <w:rPr>
          <w:spacing w:val="-4"/>
          <w:sz w:val="32"/>
        </w:rPr>
        <w:t>申报渠道</w:t>
      </w:r>
      <w:r>
        <w:rPr>
          <w:spacing w:val="-10"/>
          <w:sz w:val="32"/>
        </w:rPr>
        <w:t>：</w:t>
      </w:r>
    </w:p>
    <w:p>
      <w:pPr>
        <w:pStyle w:val="BodyText"/>
        <w:ind w:left="760"/>
      </w:pPr>
      <w:r>
        <w:rPr>
          <w:spacing w:val="-5"/>
        </w:rPr>
        <w:t>申请人可通过以下渠道择其一进行申报。</w:t>
      </w:r>
    </w:p>
    <w:p>
      <w:pPr>
        <w:pStyle w:val="ListParagraph"/>
        <w:numPr>
          <w:ilvl w:val="0"/>
          <w:numId w:val="1"/>
        </w:numPr>
        <w:tabs>
          <w:tab w:pos="1078" w:val="left" w:leader="none"/>
        </w:tabs>
        <w:spacing w:line="321" w:lineRule="auto" w:before="146" w:after="0"/>
        <w:ind w:left="120" w:right="417" w:firstLine="640"/>
        <w:jc w:val="both"/>
        <w:rPr>
          <w:sz w:val="32"/>
        </w:rPr>
      </w:pPr>
      <w:r>
        <w:rPr>
          <w:spacing w:val="-2"/>
          <w:sz w:val="32"/>
        </w:rPr>
        <w:t>单位推荐。由申请人所在单位统一组织申报。推荐时应结合学科分布的均衡性、体现优势学科等因素择优确定人</w:t>
      </w:r>
      <w:r>
        <w:rPr>
          <w:spacing w:val="-6"/>
          <w:sz w:val="32"/>
        </w:rPr>
        <w:t>选。</w:t>
      </w:r>
    </w:p>
    <w:p>
      <w:pPr>
        <w:pStyle w:val="ListParagraph"/>
        <w:numPr>
          <w:ilvl w:val="0"/>
          <w:numId w:val="1"/>
        </w:numPr>
        <w:tabs>
          <w:tab w:pos="320" w:val="left" w:leader="none"/>
        </w:tabs>
        <w:spacing w:line="240" w:lineRule="auto" w:before="8" w:after="0"/>
        <w:ind w:left="320" w:right="420" w:hanging="320"/>
        <w:jc w:val="right"/>
        <w:rPr>
          <w:sz w:val="32"/>
        </w:rPr>
      </w:pPr>
      <w:r>
        <w:rPr>
          <w:spacing w:val="-9"/>
          <w:sz w:val="32"/>
        </w:rPr>
        <w:t>同行推荐。每位申请人由 </w:t>
      </w:r>
      <w:r>
        <w:rPr>
          <w:spacing w:val="-2"/>
          <w:sz w:val="32"/>
        </w:rPr>
        <w:t>2</w:t>
      </w:r>
      <w:r>
        <w:rPr>
          <w:spacing w:val="-11"/>
          <w:sz w:val="32"/>
        </w:rPr>
        <w:t> 名首都社科界知名专家联</w:t>
      </w:r>
    </w:p>
    <w:p>
      <w:pPr>
        <w:pStyle w:val="BodyText"/>
        <w:spacing w:before="143"/>
        <w:ind w:left="0" w:right="417"/>
        <w:jc w:val="right"/>
      </w:pPr>
      <w:r>
        <w:rPr>
          <w:spacing w:val="-4"/>
        </w:rPr>
        <w:t>名推荐（</w:t>
      </w:r>
      <w:r>
        <w:rPr>
          <w:spacing w:val="-14"/>
        </w:rPr>
        <w:t>其中至少包含 </w:t>
      </w:r>
      <w:r>
        <w:rPr>
          <w:spacing w:val="-4"/>
        </w:rPr>
        <w:t>1</w:t>
      </w:r>
      <w:r>
        <w:rPr>
          <w:spacing w:val="-14"/>
        </w:rPr>
        <w:t> 名市社科联委员</w:t>
      </w:r>
      <w:r>
        <w:rPr>
          <w:spacing w:val="-4"/>
        </w:rPr>
        <w:t>），</w:t>
      </w:r>
      <w:r>
        <w:rPr>
          <w:spacing w:val="-5"/>
        </w:rPr>
        <w:t>每名专家、委</w:t>
      </w:r>
    </w:p>
    <w:p>
      <w:pPr>
        <w:pStyle w:val="BodyText"/>
        <w:spacing w:before="143"/>
        <w:jc w:val="both"/>
      </w:pPr>
      <w:r>
        <w:rPr>
          <w:spacing w:val="-13"/>
        </w:rPr>
        <w:t>员每期只可推荐 </w:t>
      </w:r>
      <w:r>
        <w:rPr>
          <w:spacing w:val="-4"/>
        </w:rPr>
        <w:t>1</w:t>
      </w:r>
      <w:r>
        <w:rPr>
          <w:spacing w:val="-30"/>
        </w:rPr>
        <w:t> 人。</w:t>
      </w:r>
    </w:p>
    <w:p>
      <w:pPr>
        <w:pStyle w:val="BodyText"/>
        <w:spacing w:line="560" w:lineRule="exact" w:before="24"/>
        <w:ind w:right="420" w:firstLine="602"/>
        <w:jc w:val="both"/>
      </w:pPr>
      <w:r>
        <w:rPr>
          <w:rFonts w:ascii="Microsoft JhengHei" w:eastAsia="Microsoft JhengHei"/>
          <w:b/>
        </w:rPr>
        <w:t>第九条 </w:t>
      </w:r>
      <w:r>
        <w:rPr/>
        <w:t>承担北京市社会科学基金项目尚未结项的项目</w:t>
      </w:r>
      <w:r>
        <w:rPr>
          <w:spacing w:val="-2"/>
        </w:rPr>
        <w:t>负责人，原则上不能申报该项目。承担过青年学术带头人项目的，不得再次申报。</w:t>
      </w:r>
    </w:p>
    <w:p>
      <w:pPr>
        <w:pStyle w:val="BodyText"/>
        <w:spacing w:line="560" w:lineRule="exact" w:before="0"/>
        <w:ind w:right="417" w:firstLine="640"/>
        <w:jc w:val="both"/>
      </w:pPr>
      <w:r>
        <w:rPr>
          <w:rFonts w:ascii="Microsoft JhengHei" w:eastAsia="Microsoft JhengHei"/>
          <w:b/>
          <w:spacing w:val="6"/>
        </w:rPr>
        <w:t>第十条 </w:t>
      </w:r>
      <w:r>
        <w:rPr>
          <w:spacing w:val="11"/>
        </w:rPr>
        <w:t>申请人须在规定时间内按照规定程序和要求</w:t>
      </w:r>
      <w:r>
        <w:rPr>
          <w:spacing w:val="-2"/>
        </w:rPr>
        <w:t>填报《北京市社会科学基金青年学术带头人项目资助对象推</w:t>
      </w:r>
      <w:r>
        <w:rPr>
          <w:spacing w:val="-5"/>
        </w:rPr>
        <w:t>荐表》等申报材料，提交符合要求的证明材料。两种渠道推</w:t>
      </w:r>
    </w:p>
    <w:p>
      <w:pPr>
        <w:pStyle w:val="BodyText"/>
        <w:spacing w:line="321" w:lineRule="auto" w:before="122"/>
        <w:ind w:right="420"/>
        <w:jc w:val="both"/>
      </w:pPr>
      <w:r>
        <w:rPr>
          <w:spacing w:val="9"/>
        </w:rPr>
        <w:t>荐的申请人均须将申报材料交由申请人所在单位科研管理</w:t>
      </w:r>
      <w:r>
        <w:rPr>
          <w:spacing w:val="-2"/>
        </w:rPr>
        <w:t>部门进行审核，各单位汇总后统一报送市社科联、市社科规</w:t>
      </w:r>
      <w:r>
        <w:rPr>
          <w:spacing w:val="-4"/>
        </w:rPr>
        <w:t>划办。</w:t>
      </w:r>
    </w:p>
    <w:p>
      <w:pPr>
        <w:tabs>
          <w:tab w:pos="2332" w:val="left" w:leader="none"/>
        </w:tabs>
        <w:spacing w:line="496" w:lineRule="exact" w:before="0"/>
        <w:ind w:left="722" w:right="0" w:firstLine="0"/>
        <w:jc w:val="left"/>
        <w:rPr>
          <w:sz w:val="32"/>
        </w:rPr>
      </w:pPr>
      <w:r>
        <w:rPr>
          <w:rFonts w:ascii="Microsoft JhengHei" w:eastAsia="Microsoft JhengHei"/>
          <w:b/>
          <w:spacing w:val="-2"/>
          <w:sz w:val="32"/>
        </w:rPr>
        <w:t>第十一</w:t>
      </w:r>
      <w:r>
        <w:rPr>
          <w:rFonts w:ascii="Microsoft JhengHei" w:eastAsia="Microsoft JhengHei"/>
          <w:b/>
          <w:spacing w:val="-10"/>
          <w:sz w:val="32"/>
        </w:rPr>
        <w:t>条</w:t>
      </w:r>
      <w:r>
        <w:rPr>
          <w:rFonts w:ascii="Microsoft JhengHei" w:eastAsia="Microsoft JhengHei"/>
          <w:b/>
          <w:sz w:val="32"/>
        </w:rPr>
        <w:tab/>
      </w:r>
      <w:r>
        <w:rPr>
          <w:spacing w:val="-2"/>
          <w:sz w:val="32"/>
        </w:rPr>
        <w:t>市社科联、市社科规划办对申报材料进行</w:t>
      </w:r>
      <w:r>
        <w:rPr>
          <w:spacing w:val="-10"/>
          <w:sz w:val="32"/>
        </w:rPr>
        <w:t>资</w:t>
      </w:r>
    </w:p>
    <w:p>
      <w:pPr>
        <w:pStyle w:val="BodyText"/>
        <w:spacing w:line="321" w:lineRule="auto"/>
        <w:ind w:right="417"/>
      </w:pPr>
      <w:r>
        <w:rPr>
          <w:spacing w:val="-2"/>
        </w:rPr>
        <w:t>格审查。符合要求的申报人将进入遴选流程。不符合本办法规定条件的，或者不符合申报公告要求的，不予受理。</w:t>
      </w:r>
    </w:p>
    <w:p>
      <w:pPr>
        <w:spacing w:after="0" w:line="321" w:lineRule="auto"/>
        <w:sectPr>
          <w:pgSz w:w="11910" w:h="16840"/>
          <w:pgMar w:header="0" w:footer="979" w:top="1520" w:bottom="1160" w:left="1680" w:right="1380"/>
        </w:sectPr>
      </w:pPr>
    </w:p>
    <w:p>
      <w:pPr>
        <w:tabs>
          <w:tab w:pos="2363" w:val="left" w:leader="none"/>
        </w:tabs>
        <w:spacing w:line="515" w:lineRule="exact" w:before="0"/>
        <w:ind w:left="760" w:right="0" w:firstLine="0"/>
        <w:jc w:val="left"/>
        <w:rPr>
          <w:sz w:val="32"/>
        </w:rPr>
      </w:pPr>
      <w:r>
        <w:rPr>
          <w:rFonts w:ascii="Microsoft JhengHei" w:eastAsia="Microsoft JhengHei"/>
          <w:b/>
          <w:spacing w:val="-2"/>
          <w:sz w:val="32"/>
        </w:rPr>
        <w:t>第十二</w:t>
      </w:r>
      <w:r>
        <w:rPr>
          <w:rFonts w:ascii="Microsoft JhengHei" w:eastAsia="Microsoft JhengHei"/>
          <w:b/>
          <w:spacing w:val="-10"/>
          <w:sz w:val="32"/>
        </w:rPr>
        <w:t>条</w:t>
      </w:r>
      <w:r>
        <w:rPr>
          <w:rFonts w:ascii="Microsoft JhengHei" w:eastAsia="Microsoft JhengHei"/>
          <w:b/>
          <w:sz w:val="32"/>
        </w:rPr>
        <w:tab/>
      </w:r>
      <w:r>
        <w:rPr>
          <w:spacing w:val="-4"/>
          <w:sz w:val="32"/>
        </w:rPr>
        <w:t>遴选流程</w:t>
      </w:r>
      <w:r>
        <w:rPr>
          <w:spacing w:val="-10"/>
          <w:sz w:val="32"/>
        </w:rPr>
        <w:t>：</w:t>
      </w:r>
    </w:p>
    <w:p>
      <w:pPr>
        <w:pStyle w:val="BodyText"/>
        <w:spacing w:line="324" w:lineRule="auto"/>
        <w:ind w:right="405" w:firstLine="640"/>
        <w:jc w:val="right"/>
      </w:pPr>
      <w:r>
        <w:rPr>
          <w:spacing w:val="-2"/>
        </w:rPr>
        <w:t>1.学术社团初评。市社科联、市社科规划办组织学术社团对所属学科的申请人进行答辩评审，初步拟定推荐顺序。 2.学术委员会评议。市社科联、市社科规划办按比例拟</w:t>
      </w:r>
    </w:p>
    <w:p>
      <w:pPr>
        <w:pStyle w:val="BodyText"/>
        <w:spacing w:line="321" w:lineRule="auto" w:before="0"/>
        <w:ind w:right="420"/>
      </w:pPr>
      <w:r>
        <w:rPr>
          <w:spacing w:val="7"/>
        </w:rPr>
        <w:t>定入选名单,组织市社科联学术委员会进行综合评议,提出</w:t>
      </w:r>
      <w:r>
        <w:rPr>
          <w:spacing w:val="-2"/>
        </w:rPr>
        <w:t>拟资助课题承担人名单。</w:t>
      </w:r>
    </w:p>
    <w:p>
      <w:pPr>
        <w:pStyle w:val="ListParagraph"/>
        <w:numPr>
          <w:ilvl w:val="0"/>
          <w:numId w:val="1"/>
        </w:numPr>
        <w:tabs>
          <w:tab w:pos="1040" w:val="left" w:leader="none"/>
        </w:tabs>
        <w:spacing w:line="324" w:lineRule="auto" w:before="1" w:after="0"/>
        <w:ind w:left="120" w:right="259" w:firstLine="602"/>
        <w:jc w:val="left"/>
        <w:rPr>
          <w:rFonts w:ascii="仿宋" w:eastAsia="仿宋"/>
          <w:sz w:val="32"/>
        </w:rPr>
      </w:pPr>
      <w:r>
        <w:rPr>
          <w:spacing w:val="-14"/>
          <w:sz w:val="32"/>
        </w:rPr>
        <w:t>审批公示。拟资助课题承担人名单经批准后进行公示。</w:t>
      </w:r>
      <w:r>
        <w:rPr>
          <w:spacing w:val="-2"/>
          <w:sz w:val="32"/>
        </w:rPr>
        <w:t>在公示期内，凡有异议的，可向市社科联、市社科规划办提出实名书面意见。</w:t>
      </w:r>
      <w:r>
        <w:rPr>
          <w:rFonts w:ascii="仿宋" w:eastAsia="仿宋"/>
          <w:spacing w:val="-2"/>
          <w:sz w:val="32"/>
        </w:rPr>
        <w:t>市社科联、市社科规划办经调查核实予以</w:t>
      </w:r>
      <w:r>
        <w:rPr>
          <w:rFonts w:ascii="仿宋" w:eastAsia="仿宋"/>
          <w:spacing w:val="-4"/>
          <w:sz w:val="32"/>
        </w:rPr>
        <w:t>回复。</w:t>
      </w:r>
    </w:p>
    <w:p>
      <w:pPr>
        <w:tabs>
          <w:tab w:pos="2366" w:val="left" w:leader="none"/>
        </w:tabs>
        <w:spacing w:line="482" w:lineRule="exact" w:before="0"/>
        <w:ind w:left="760" w:right="0" w:firstLine="0"/>
        <w:jc w:val="left"/>
        <w:rPr>
          <w:sz w:val="32"/>
        </w:rPr>
      </w:pPr>
      <w:r>
        <w:rPr>
          <w:rFonts w:ascii="Microsoft JhengHei" w:eastAsia="Microsoft JhengHei"/>
          <w:b/>
          <w:spacing w:val="-2"/>
          <w:sz w:val="32"/>
        </w:rPr>
        <w:t>第十三</w:t>
      </w:r>
      <w:r>
        <w:rPr>
          <w:rFonts w:ascii="Microsoft JhengHei" w:eastAsia="Microsoft JhengHei"/>
          <w:b/>
          <w:spacing w:val="-10"/>
          <w:sz w:val="32"/>
        </w:rPr>
        <w:t>条</w:t>
      </w:r>
      <w:r>
        <w:rPr>
          <w:rFonts w:ascii="Microsoft JhengHei" w:eastAsia="Microsoft JhengHei"/>
          <w:b/>
          <w:sz w:val="32"/>
        </w:rPr>
        <w:tab/>
      </w:r>
      <w:r>
        <w:rPr>
          <w:spacing w:val="-4"/>
          <w:sz w:val="32"/>
        </w:rPr>
        <w:t>凡被举报、发现有违背学术道德、破坏学</w:t>
      </w:r>
      <w:r>
        <w:rPr>
          <w:spacing w:val="-10"/>
          <w:sz w:val="32"/>
        </w:rPr>
        <w:t>术</w:t>
      </w:r>
    </w:p>
    <w:p>
      <w:pPr>
        <w:pStyle w:val="BodyText"/>
        <w:spacing w:before="71"/>
      </w:pPr>
      <w:r>
        <w:rPr>
          <w:spacing w:val="-5"/>
        </w:rPr>
        <w:t>风气者，经查无误后，取消其项目资格。</w:t>
      </w:r>
    </w:p>
    <w:p>
      <w:pPr>
        <w:pStyle w:val="BodyText"/>
        <w:spacing w:before="301"/>
        <w:ind w:left="0" w:right="300"/>
        <w:jc w:val="center"/>
        <w:rPr>
          <w:rFonts w:ascii="黑体" w:eastAsia="黑体"/>
        </w:rPr>
      </w:pPr>
      <w:r>
        <w:rPr>
          <w:rFonts w:ascii="黑体" w:eastAsia="黑体"/>
        </w:rPr>
        <w:t>第三章</w:t>
      </w:r>
      <w:r>
        <w:rPr>
          <w:rFonts w:ascii="黑体" w:eastAsia="黑体"/>
          <w:spacing w:val="63"/>
          <w:w w:val="150"/>
        </w:rPr>
        <w:t> </w:t>
      </w:r>
      <w:r>
        <w:rPr>
          <w:rFonts w:ascii="黑体" w:eastAsia="黑体"/>
          <w:spacing w:val="-3"/>
        </w:rPr>
        <w:t>配备导师</w:t>
      </w:r>
    </w:p>
    <w:p>
      <w:pPr>
        <w:pStyle w:val="BodyText"/>
        <w:tabs>
          <w:tab w:pos="2363" w:val="left" w:leader="none"/>
        </w:tabs>
        <w:spacing w:line="271" w:lineRule="auto" w:before="235"/>
        <w:ind w:right="417" w:firstLine="640"/>
      </w:pPr>
      <w:r>
        <w:rPr>
          <w:rFonts w:ascii="Microsoft JhengHei" w:eastAsia="Microsoft JhengHei"/>
          <w:b/>
          <w:spacing w:val="-4"/>
        </w:rPr>
        <w:t>第十四条</w:t>
      </w:r>
      <w:r>
        <w:rPr>
          <w:rFonts w:ascii="Microsoft JhengHei" w:eastAsia="Microsoft JhengHei"/>
          <w:b/>
        </w:rPr>
        <w:tab/>
      </w:r>
      <w:r>
        <w:rPr>
          <w:spacing w:val="-2"/>
        </w:rPr>
        <w:t>青年学术带头人项目采取课题双导师制（</w:t>
      </w:r>
      <w:r>
        <w:rPr>
          <w:spacing w:val="-2"/>
        </w:rPr>
        <w:t>市</w:t>
      </w:r>
      <w:r>
        <w:rPr>
          <w:spacing w:val="-4"/>
        </w:rPr>
        <w:t>社科联委员、所属学科的知名专家学者）对课题承担人进</w:t>
      </w:r>
      <w:r>
        <w:rPr>
          <w:spacing w:val="-10"/>
        </w:rPr>
        <w:t>行</w:t>
      </w:r>
    </w:p>
    <w:p>
      <w:pPr>
        <w:pStyle w:val="BodyText"/>
        <w:spacing w:before="90"/>
      </w:pPr>
      <w:r>
        <w:rPr>
          <w:spacing w:val="-5"/>
        </w:rPr>
        <w:t>指导，促进其专业成长和学术能力提升。</w:t>
      </w:r>
    </w:p>
    <w:p>
      <w:pPr>
        <w:pStyle w:val="BodyText"/>
        <w:tabs>
          <w:tab w:pos="2366" w:val="left" w:leader="none"/>
        </w:tabs>
        <w:spacing w:line="271" w:lineRule="auto" w:before="79"/>
        <w:ind w:right="417" w:firstLine="640"/>
      </w:pPr>
      <w:r>
        <w:rPr>
          <w:rFonts w:ascii="Microsoft JhengHei" w:eastAsia="Microsoft JhengHei"/>
          <w:b/>
          <w:spacing w:val="-4"/>
        </w:rPr>
        <w:t>第十五条</w:t>
      </w:r>
      <w:r>
        <w:rPr>
          <w:rFonts w:ascii="Microsoft JhengHei" w:eastAsia="Microsoft JhengHei"/>
          <w:b/>
        </w:rPr>
        <w:tab/>
      </w:r>
      <w:r>
        <w:rPr>
          <w:spacing w:val="-2"/>
        </w:rPr>
        <w:t>市社科联委员导师由市社科联、市社科规</w:t>
      </w:r>
      <w:r>
        <w:rPr>
          <w:spacing w:val="-2"/>
        </w:rPr>
        <w:t>划办根据委员意愿在双方认可的基础上协调配备。</w:t>
      </w:r>
    </w:p>
    <w:p>
      <w:pPr>
        <w:tabs>
          <w:tab w:pos="2443" w:val="left" w:leader="none"/>
        </w:tabs>
        <w:spacing w:before="25"/>
        <w:ind w:left="120" w:right="0" w:firstLine="640"/>
        <w:jc w:val="left"/>
        <w:rPr>
          <w:sz w:val="32"/>
        </w:rPr>
      </w:pPr>
      <w:r>
        <w:rPr>
          <w:rFonts w:ascii="Microsoft JhengHei" w:eastAsia="Microsoft JhengHei"/>
          <w:b/>
          <w:spacing w:val="11"/>
          <w:sz w:val="32"/>
        </w:rPr>
        <w:t>第十六</w:t>
      </w:r>
      <w:r>
        <w:rPr>
          <w:rFonts w:ascii="Microsoft JhengHei" w:eastAsia="Microsoft JhengHei"/>
          <w:b/>
          <w:spacing w:val="-10"/>
          <w:sz w:val="32"/>
        </w:rPr>
        <w:t>条</w:t>
      </w:r>
      <w:r>
        <w:rPr>
          <w:rFonts w:ascii="Microsoft JhengHei" w:eastAsia="Microsoft JhengHei"/>
          <w:b/>
          <w:sz w:val="32"/>
        </w:rPr>
        <w:tab/>
      </w:r>
      <w:r>
        <w:rPr>
          <w:spacing w:val="10"/>
          <w:sz w:val="32"/>
        </w:rPr>
        <w:t>所属学科专家学者导师原则上由课题承</w:t>
      </w:r>
      <w:r>
        <w:rPr>
          <w:spacing w:val="-10"/>
          <w:sz w:val="32"/>
        </w:rPr>
        <w:t>担</w:t>
      </w:r>
    </w:p>
    <w:p>
      <w:pPr>
        <w:pStyle w:val="BodyText"/>
        <w:spacing w:line="324" w:lineRule="auto"/>
        <w:ind w:right="417"/>
        <w:jc w:val="both"/>
      </w:pPr>
      <w:r>
        <w:rPr>
          <w:spacing w:val="-2"/>
        </w:rPr>
        <w:t>人所在单位或所属学术社团联系指定，该导师的学科领域应与课题承担人一致。若最终无法确定的，由市社科联、市社科规划办统一协调。</w:t>
      </w:r>
    </w:p>
    <w:p>
      <w:pPr>
        <w:pStyle w:val="BodyText"/>
        <w:spacing w:before="152"/>
        <w:ind w:left="0" w:right="300"/>
        <w:jc w:val="center"/>
        <w:rPr>
          <w:rFonts w:ascii="黑体" w:eastAsia="黑体"/>
        </w:rPr>
      </w:pPr>
      <w:r>
        <w:rPr>
          <w:rFonts w:ascii="黑体" w:eastAsia="黑体"/>
        </w:rPr>
        <w:t>第四章</w:t>
      </w:r>
      <w:r>
        <w:rPr>
          <w:rFonts w:ascii="黑体" w:eastAsia="黑体"/>
          <w:spacing w:val="63"/>
          <w:w w:val="150"/>
        </w:rPr>
        <w:t> </w:t>
      </w:r>
      <w:r>
        <w:rPr>
          <w:rFonts w:ascii="黑体" w:eastAsia="黑体"/>
          <w:spacing w:val="-3"/>
        </w:rPr>
        <w:t>项目立项</w:t>
      </w:r>
    </w:p>
    <w:p>
      <w:pPr>
        <w:spacing w:after="0"/>
        <w:jc w:val="center"/>
        <w:rPr>
          <w:rFonts w:ascii="黑体" w:eastAsia="黑体"/>
        </w:rPr>
        <w:sectPr>
          <w:pgSz w:w="11910" w:h="16840"/>
          <w:pgMar w:header="0" w:footer="979" w:top="1520" w:bottom="1160" w:left="1680" w:right="1380"/>
        </w:sectPr>
      </w:pPr>
    </w:p>
    <w:p>
      <w:pPr>
        <w:spacing w:line="515" w:lineRule="exact" w:before="0"/>
        <w:ind w:left="760" w:right="0" w:firstLine="0"/>
        <w:jc w:val="both"/>
        <w:rPr>
          <w:sz w:val="32"/>
        </w:rPr>
      </w:pPr>
      <w:r>
        <w:rPr>
          <w:rFonts w:ascii="Microsoft JhengHei" w:eastAsia="Microsoft JhengHei"/>
          <w:b/>
          <w:spacing w:val="14"/>
          <w:sz w:val="32"/>
        </w:rPr>
        <w:t>第十七条  </w:t>
      </w:r>
      <w:r>
        <w:rPr>
          <w:spacing w:val="-1"/>
          <w:sz w:val="32"/>
        </w:rPr>
        <w:t>课题承担人应结合自身研究优势和学术积累</w:t>
      </w:r>
    </w:p>
    <w:p>
      <w:pPr>
        <w:pStyle w:val="BodyText"/>
        <w:spacing w:line="324" w:lineRule="auto"/>
        <w:ind w:right="417"/>
        <w:jc w:val="both"/>
      </w:pPr>
      <w:r>
        <w:rPr>
          <w:spacing w:val="-2"/>
        </w:rPr>
        <w:t>确定研究课题。课题应体现鲜明的时代特征、问题导向和创新意识，坚持正确的政治方向、学术导向和价值取向，重视</w:t>
      </w:r>
      <w:r>
        <w:rPr>
          <w:spacing w:val="-4"/>
        </w:rPr>
        <w:t>学术积累，厚植学术根基，推</w:t>
      </w:r>
      <w:r>
        <w:rPr>
          <w:spacing w:val="-4"/>
          <w:sz w:val="30"/>
        </w:rPr>
        <w:t>进知识创新、理论创新、方法创</w:t>
      </w:r>
      <w:r>
        <w:rPr>
          <w:spacing w:val="-2"/>
          <w:sz w:val="30"/>
        </w:rPr>
        <w:t>新</w:t>
      </w:r>
      <w:r>
        <w:rPr>
          <w:spacing w:val="-2"/>
        </w:rPr>
        <w:t>。研究应瞄准学科学术发展前沿，基础理论创新与重大现实问题研究并重，具有原创性、开拓性和较高的学术思想价值。鼓励不同学科之间的交叉研究或跨学科研究。</w:t>
      </w:r>
    </w:p>
    <w:p>
      <w:pPr>
        <w:spacing w:line="479" w:lineRule="exact" w:before="0"/>
        <w:ind w:left="760" w:right="0" w:firstLine="0"/>
        <w:jc w:val="both"/>
        <w:rPr>
          <w:sz w:val="32"/>
        </w:rPr>
      </w:pPr>
      <w:r>
        <w:rPr>
          <w:rFonts w:ascii="Microsoft JhengHei" w:eastAsia="Microsoft JhengHei"/>
          <w:b/>
          <w:spacing w:val="29"/>
          <w:sz w:val="32"/>
        </w:rPr>
        <w:t>第十八条  </w:t>
      </w:r>
      <w:r>
        <w:rPr>
          <w:spacing w:val="10"/>
          <w:sz w:val="32"/>
        </w:rPr>
        <w:t>课题导师对课题承担人所拟课题进行严格</w:t>
      </w:r>
    </w:p>
    <w:p>
      <w:pPr>
        <w:pStyle w:val="BodyText"/>
        <w:spacing w:line="324" w:lineRule="auto"/>
        <w:ind w:right="420"/>
        <w:jc w:val="both"/>
      </w:pPr>
      <w:r>
        <w:rPr>
          <w:spacing w:val="-2"/>
        </w:rPr>
        <w:t>把关，主要从政治方向、学术创新、理论与实践价值以及下一步研究方案、预期研究成果的可行性、经费使用计划的合理性等方面进行综合评判，提出客观、可行的意见建议。</w:t>
      </w:r>
    </w:p>
    <w:p>
      <w:pPr>
        <w:spacing w:line="484" w:lineRule="exact" w:before="0"/>
        <w:ind w:left="760" w:right="0" w:firstLine="0"/>
        <w:jc w:val="both"/>
        <w:rPr>
          <w:sz w:val="32"/>
        </w:rPr>
      </w:pPr>
      <w:r>
        <w:rPr>
          <w:rFonts w:ascii="Microsoft JhengHei" w:eastAsia="Microsoft JhengHei"/>
          <w:b/>
          <w:spacing w:val="29"/>
          <w:sz w:val="32"/>
        </w:rPr>
        <w:t>第十九条  </w:t>
      </w:r>
      <w:r>
        <w:rPr>
          <w:spacing w:val="10"/>
          <w:sz w:val="32"/>
        </w:rPr>
        <w:t>课题承担人与课题导师共同确认课题研究</w:t>
      </w:r>
    </w:p>
    <w:p>
      <w:pPr>
        <w:pStyle w:val="BodyText"/>
        <w:spacing w:line="321" w:lineRule="auto" w:before="73"/>
        <w:ind w:right="420"/>
        <w:jc w:val="both"/>
      </w:pPr>
      <w:r>
        <w:rPr>
          <w:spacing w:val="-2"/>
        </w:rPr>
        <w:t>内容，并在规定期限内按程序和要求填写《北京市社会科学基金青年学术带头人项目计划书》报市社科联、市社科规划办，完成时限一般不超过 </w:t>
      </w:r>
      <w:r>
        <w:rPr/>
        <w:t>3</w:t>
      </w:r>
      <w:r>
        <w:rPr>
          <w:spacing w:val="-7"/>
        </w:rPr>
        <w:t> 年。</w:t>
      </w:r>
    </w:p>
    <w:p>
      <w:pPr>
        <w:pStyle w:val="BodyText"/>
        <w:tabs>
          <w:tab w:pos="2363" w:val="left" w:leader="none"/>
        </w:tabs>
        <w:spacing w:line="496" w:lineRule="exact" w:before="0"/>
        <w:ind w:left="760"/>
      </w:pPr>
      <w:r>
        <w:rPr>
          <w:rFonts w:ascii="Microsoft JhengHei" w:eastAsia="Microsoft JhengHei"/>
          <w:b/>
          <w:spacing w:val="-2"/>
        </w:rPr>
        <w:t>第二十</w:t>
      </w:r>
      <w:r>
        <w:rPr>
          <w:rFonts w:ascii="Microsoft JhengHei" w:eastAsia="Microsoft JhengHei"/>
          <w:b/>
          <w:spacing w:val="-10"/>
        </w:rPr>
        <w:t>条</w:t>
      </w:r>
      <w:r>
        <w:rPr>
          <w:rFonts w:ascii="Microsoft JhengHei" w:eastAsia="Microsoft JhengHei"/>
          <w:b/>
        </w:rPr>
        <w:tab/>
      </w:r>
      <w:r>
        <w:rPr>
          <w:spacing w:val="-4"/>
        </w:rPr>
        <w:t>不得以已获得省部</w:t>
      </w:r>
      <w:r>
        <w:rPr>
          <w:spacing w:val="-87"/>
        </w:rPr>
        <w:t>级</w:t>
      </w:r>
      <w:r>
        <w:rPr>
          <w:spacing w:val="-4"/>
        </w:rPr>
        <w:t>（含</w:t>
      </w:r>
      <w:r>
        <w:rPr>
          <w:spacing w:val="-89"/>
        </w:rPr>
        <w:t>）</w:t>
      </w:r>
      <w:r>
        <w:rPr>
          <w:spacing w:val="-4"/>
        </w:rPr>
        <w:t>以上资助的选题</w:t>
      </w:r>
      <w:r>
        <w:rPr>
          <w:spacing w:val="-10"/>
        </w:rPr>
        <w:t>、</w:t>
      </w:r>
    </w:p>
    <w:p>
      <w:pPr>
        <w:pStyle w:val="BodyText"/>
        <w:spacing w:line="324" w:lineRule="auto" w:before="71"/>
        <w:ind w:right="98"/>
      </w:pPr>
      <w:r>
        <w:rPr>
          <w:spacing w:val="-2"/>
        </w:rPr>
        <w:t>已发表或出版内容基本相同的研究成果申请该项目；以博士</w:t>
      </w:r>
      <w:r>
        <w:rPr>
          <w:spacing w:val="-2"/>
        </w:rPr>
        <w:t> 学位论文或博士后出站报告为基础申请的项目，须在《计划书》中注明所申请项目与学位论文或出站报告的联系与区别。</w:t>
      </w:r>
    </w:p>
    <w:p>
      <w:pPr>
        <w:spacing w:line="484" w:lineRule="exact" w:before="0"/>
        <w:ind w:left="760" w:right="0" w:firstLine="0"/>
        <w:jc w:val="both"/>
        <w:rPr>
          <w:sz w:val="32"/>
        </w:rPr>
      </w:pPr>
      <w:r>
        <w:rPr>
          <w:rFonts w:ascii="Microsoft JhengHei" w:eastAsia="Microsoft JhengHei"/>
          <w:b/>
          <w:spacing w:val="12"/>
          <w:sz w:val="32"/>
        </w:rPr>
        <w:t>第二十一条  </w:t>
      </w:r>
      <w:r>
        <w:rPr>
          <w:spacing w:val="-1"/>
          <w:sz w:val="32"/>
        </w:rPr>
        <w:t>获准立项的项目，由市社科联、市社科规</w:t>
      </w:r>
    </w:p>
    <w:p>
      <w:pPr>
        <w:pStyle w:val="BodyText"/>
        <w:spacing w:line="324" w:lineRule="auto"/>
        <w:ind w:right="405"/>
        <w:jc w:val="both"/>
      </w:pPr>
      <w:r>
        <w:rPr>
          <w:spacing w:val="-2"/>
        </w:rPr>
        <w:t>划办向项目责任单位科研管理部门下达立项通知书。接到立项通知书后，课题承担人须在规定时间内，按照批准的资助金额，实事求是、科学合理地编制经费支出预算，由项目责</w:t>
      </w:r>
      <w:r>
        <w:rPr>
          <w:spacing w:val="-5"/>
        </w:rPr>
        <w:t>任单位科研管理部门和财务管理部门审核后，报市社科联、</w:t>
      </w:r>
    </w:p>
    <w:p>
      <w:pPr>
        <w:spacing w:after="0" w:line="324" w:lineRule="auto"/>
        <w:jc w:val="both"/>
        <w:sectPr>
          <w:pgSz w:w="11910" w:h="16840"/>
          <w:pgMar w:header="0" w:footer="979" w:top="1520" w:bottom="1160" w:left="1680" w:right="1380"/>
        </w:sectPr>
      </w:pPr>
    </w:p>
    <w:p>
      <w:pPr>
        <w:pStyle w:val="BodyText"/>
        <w:spacing w:line="321" w:lineRule="auto" w:before="26"/>
        <w:ind w:right="420"/>
      </w:pPr>
      <w:r>
        <w:rPr>
          <w:spacing w:val="-2"/>
        </w:rPr>
        <w:t>市社科规划办批准。无特殊情况，逾期不报视为自动放弃立</w:t>
      </w:r>
      <w:r>
        <w:rPr>
          <w:spacing w:val="-4"/>
        </w:rPr>
        <w:t>项资格。</w:t>
      </w:r>
    </w:p>
    <w:p>
      <w:pPr>
        <w:pStyle w:val="BodyText"/>
        <w:spacing w:before="159"/>
        <w:ind w:left="0" w:right="300"/>
        <w:jc w:val="center"/>
        <w:rPr>
          <w:rFonts w:ascii="黑体" w:eastAsia="黑体"/>
        </w:rPr>
      </w:pPr>
      <w:r>
        <w:rPr>
          <w:rFonts w:ascii="黑体" w:eastAsia="黑体"/>
        </w:rPr>
        <w:t>第五章</w:t>
      </w:r>
      <w:r>
        <w:rPr>
          <w:rFonts w:ascii="黑体" w:eastAsia="黑体"/>
          <w:spacing w:val="63"/>
          <w:w w:val="150"/>
        </w:rPr>
        <w:t> </w:t>
      </w:r>
      <w:r>
        <w:rPr>
          <w:rFonts w:ascii="黑体" w:eastAsia="黑体"/>
          <w:spacing w:val="-3"/>
        </w:rPr>
        <w:t>资金管理</w:t>
      </w:r>
    </w:p>
    <w:p>
      <w:pPr>
        <w:pStyle w:val="BodyText"/>
        <w:spacing w:line="560" w:lineRule="exact" w:before="180"/>
        <w:ind w:right="417" w:firstLine="640"/>
        <w:jc w:val="both"/>
      </w:pPr>
      <w:r>
        <w:rPr>
          <w:rFonts w:ascii="Microsoft JhengHei" w:eastAsia="Microsoft JhengHei"/>
          <w:b/>
          <w:spacing w:val="9"/>
        </w:rPr>
        <w:t>第二十二条 </w:t>
      </w:r>
      <w:r>
        <w:rPr>
          <w:spacing w:val="11"/>
        </w:rPr>
        <w:t>青年学术带头人项目的资金预算编报和</w:t>
      </w:r>
      <w:r>
        <w:rPr>
          <w:spacing w:val="-2"/>
        </w:rPr>
        <w:t>资金使用管理，须严格遵守《北京市社会科学基金项目资金</w:t>
      </w:r>
      <w:r>
        <w:rPr>
          <w:spacing w:val="-34"/>
        </w:rPr>
        <w:t>管理办法》</w:t>
      </w:r>
      <w:r>
        <w:rPr>
          <w:spacing w:val="-2"/>
        </w:rPr>
        <w:t>（京财科文[2022]1042）相关规定。</w:t>
      </w:r>
    </w:p>
    <w:p>
      <w:pPr>
        <w:pStyle w:val="BodyText"/>
        <w:spacing w:line="560" w:lineRule="exact" w:before="0"/>
        <w:ind w:right="415" w:firstLine="640"/>
        <w:jc w:val="both"/>
      </w:pPr>
      <w:r>
        <w:rPr>
          <w:rFonts w:ascii="Microsoft JhengHei" w:eastAsia="Microsoft JhengHei"/>
          <w:b/>
        </w:rPr>
        <w:t>第二十三条 </w:t>
      </w:r>
      <w:r>
        <w:rPr/>
        <w:t>项目资金由市社科联、市社科规划办统一</w:t>
      </w:r>
      <w:r>
        <w:rPr>
          <w:spacing w:val="-2"/>
        </w:rPr>
        <w:t>向市财政局申报，纳入市级预算项目库。市社科联、市社科</w:t>
      </w:r>
      <w:r>
        <w:rPr>
          <w:spacing w:val="-5"/>
        </w:rPr>
        <w:t>规划办根据市财政局的审批结果，将资金拨付给项目责任单</w:t>
      </w:r>
    </w:p>
    <w:p>
      <w:pPr>
        <w:pStyle w:val="BodyText"/>
        <w:spacing w:line="321" w:lineRule="auto" w:before="122"/>
        <w:ind w:right="417"/>
        <w:jc w:val="both"/>
      </w:pPr>
      <w:r>
        <w:rPr>
          <w:spacing w:val="-22"/>
        </w:rPr>
        <w:t>位。项目资金分三期拨付，项目立项后逐年拨付三期经费</w:t>
      </w:r>
      <w:r>
        <w:rPr>
          <w:spacing w:val="-2"/>
        </w:rPr>
        <w:t>（每</w:t>
      </w:r>
      <w:r>
        <w:rPr>
          <w:spacing w:val="-10"/>
        </w:rPr>
        <w:t>期 </w:t>
      </w:r>
      <w:r>
        <w:rPr/>
        <w:t>5</w:t>
      </w:r>
      <w:r>
        <w:rPr>
          <w:spacing w:val="-7"/>
        </w:rPr>
        <w:t> 万元</w:t>
      </w:r>
      <w:r>
        <w:rPr>
          <w:spacing w:val="-159"/>
        </w:rPr>
        <w:t>）</w:t>
      </w:r>
      <w:r>
        <w:rPr/>
        <w:t>。</w:t>
      </w:r>
    </w:p>
    <w:p>
      <w:pPr>
        <w:spacing w:line="492" w:lineRule="exact" w:before="0"/>
        <w:ind w:left="760" w:right="0" w:firstLine="0"/>
        <w:jc w:val="both"/>
        <w:rPr>
          <w:sz w:val="32"/>
        </w:rPr>
      </w:pPr>
      <w:r>
        <w:rPr>
          <w:rFonts w:ascii="Microsoft JhengHei" w:eastAsia="Microsoft JhengHei"/>
          <w:b/>
          <w:spacing w:val="26"/>
          <w:sz w:val="32"/>
        </w:rPr>
        <w:t>第二十四条  </w:t>
      </w:r>
      <w:r>
        <w:rPr>
          <w:spacing w:val="10"/>
          <w:sz w:val="32"/>
        </w:rPr>
        <w:t>课题承担人应严格执行批准后的项目资</w:t>
      </w:r>
    </w:p>
    <w:p>
      <w:pPr>
        <w:pStyle w:val="BodyText"/>
        <w:spacing w:line="321" w:lineRule="auto" w:before="72"/>
        <w:ind w:right="420"/>
      </w:pPr>
      <w:r>
        <w:rPr>
          <w:spacing w:val="-2"/>
        </w:rPr>
        <w:t>金预算，确需调整的，应当按照《北京市社会科学基金项目资金管理办法》规定的程序办理。</w:t>
      </w:r>
    </w:p>
    <w:p>
      <w:pPr>
        <w:pStyle w:val="BodyText"/>
        <w:spacing w:line="324" w:lineRule="auto" w:before="4"/>
        <w:ind w:right="417" w:firstLine="640"/>
      </w:pPr>
      <w:r>
        <w:rPr>
          <w:spacing w:val="-2"/>
        </w:rPr>
        <w:t>项目责任单位应当制定项目资金内部管理办法，建立健全内部控制制度，加强对项目资金的监督和管理。</w:t>
      </w:r>
    </w:p>
    <w:p>
      <w:pPr>
        <w:tabs>
          <w:tab w:pos="2687" w:val="left" w:leader="none"/>
        </w:tabs>
        <w:spacing w:line="486" w:lineRule="exact" w:before="0"/>
        <w:ind w:left="760" w:right="0" w:firstLine="0"/>
        <w:jc w:val="left"/>
        <w:rPr>
          <w:sz w:val="32"/>
        </w:rPr>
      </w:pPr>
      <w:r>
        <w:rPr>
          <w:rFonts w:ascii="Microsoft JhengHei" w:eastAsia="Microsoft JhengHei"/>
          <w:b/>
          <w:spacing w:val="-2"/>
          <w:sz w:val="32"/>
        </w:rPr>
        <w:t>第二十五</w:t>
      </w:r>
      <w:r>
        <w:rPr>
          <w:rFonts w:ascii="Microsoft JhengHei" w:eastAsia="Microsoft JhengHei"/>
          <w:b/>
          <w:spacing w:val="-10"/>
          <w:sz w:val="32"/>
        </w:rPr>
        <w:t>条</w:t>
      </w:r>
      <w:r>
        <w:rPr>
          <w:rFonts w:ascii="Microsoft JhengHei" w:eastAsia="Microsoft JhengHei"/>
          <w:b/>
          <w:sz w:val="32"/>
        </w:rPr>
        <w:tab/>
      </w:r>
      <w:r>
        <w:rPr>
          <w:spacing w:val="-4"/>
          <w:sz w:val="32"/>
        </w:rPr>
        <w:t>项目资金一次核定，超支不补。项目资</w:t>
      </w:r>
      <w:r>
        <w:rPr>
          <w:spacing w:val="-10"/>
          <w:sz w:val="32"/>
        </w:rPr>
        <w:t>金</w:t>
      </w:r>
    </w:p>
    <w:p>
      <w:pPr>
        <w:pStyle w:val="BodyText"/>
        <w:spacing w:line="324" w:lineRule="auto"/>
        <w:ind w:right="420"/>
      </w:pPr>
      <w:r>
        <w:rPr>
          <w:spacing w:val="-2"/>
        </w:rPr>
        <w:t>应单独核算、专款专用，课题承担人、责任单位不得以任何方式截留、挤占和挪用。</w:t>
      </w:r>
    </w:p>
    <w:p>
      <w:pPr>
        <w:pStyle w:val="BodyText"/>
        <w:spacing w:before="154"/>
        <w:ind w:left="0" w:right="300"/>
        <w:jc w:val="center"/>
        <w:rPr>
          <w:rFonts w:ascii="黑体" w:eastAsia="黑体"/>
        </w:rPr>
      </w:pPr>
      <w:r>
        <w:rPr>
          <w:rFonts w:ascii="黑体" w:eastAsia="黑体"/>
        </w:rPr>
        <w:t>第六章</w:t>
      </w:r>
      <w:r>
        <w:rPr>
          <w:rFonts w:ascii="黑体" w:eastAsia="黑体"/>
          <w:spacing w:val="63"/>
          <w:w w:val="150"/>
        </w:rPr>
        <w:t> </w:t>
      </w:r>
      <w:r>
        <w:rPr>
          <w:rFonts w:ascii="黑体" w:eastAsia="黑体"/>
          <w:spacing w:val="-3"/>
        </w:rPr>
        <w:t>过程管理</w:t>
      </w:r>
    </w:p>
    <w:p>
      <w:pPr>
        <w:tabs>
          <w:tab w:pos="2687" w:val="left" w:leader="none"/>
        </w:tabs>
        <w:spacing w:before="235"/>
        <w:ind w:left="120" w:right="0" w:firstLine="640"/>
        <w:jc w:val="left"/>
        <w:rPr>
          <w:sz w:val="32"/>
        </w:rPr>
      </w:pPr>
      <w:r>
        <w:rPr>
          <w:rFonts w:ascii="Microsoft JhengHei" w:eastAsia="Microsoft JhengHei"/>
          <w:b/>
          <w:spacing w:val="-2"/>
          <w:sz w:val="32"/>
        </w:rPr>
        <w:t>第二十六</w:t>
      </w:r>
      <w:r>
        <w:rPr>
          <w:rFonts w:ascii="Microsoft JhengHei" w:eastAsia="Microsoft JhengHei"/>
          <w:b/>
          <w:spacing w:val="-10"/>
          <w:sz w:val="32"/>
        </w:rPr>
        <w:t>条</w:t>
      </w:r>
      <w:r>
        <w:rPr>
          <w:rFonts w:ascii="Microsoft JhengHei" w:eastAsia="Microsoft JhengHei"/>
          <w:b/>
          <w:sz w:val="32"/>
        </w:rPr>
        <w:tab/>
      </w:r>
      <w:r>
        <w:rPr>
          <w:spacing w:val="-4"/>
          <w:sz w:val="32"/>
        </w:rPr>
        <w:t>项目正式立项后，应当在规定时间内进</w:t>
      </w:r>
      <w:r>
        <w:rPr>
          <w:spacing w:val="-10"/>
          <w:sz w:val="32"/>
        </w:rPr>
        <w:t>行</w:t>
      </w:r>
    </w:p>
    <w:p>
      <w:pPr>
        <w:pStyle w:val="BodyText"/>
        <w:spacing w:line="321" w:lineRule="auto" w:before="72"/>
        <w:ind w:right="405"/>
      </w:pPr>
      <w:r>
        <w:rPr>
          <w:spacing w:val="-2"/>
        </w:rPr>
        <w:t>开题论证，听取课题导师和专家意见建议，完善研究计划，并将开题论证情况报市社科联、市社科规划办。</w:t>
      </w:r>
    </w:p>
    <w:p>
      <w:pPr>
        <w:spacing w:after="0" w:line="321" w:lineRule="auto"/>
        <w:sectPr>
          <w:pgSz w:w="11910" w:h="16840"/>
          <w:pgMar w:header="0" w:footer="979" w:top="1520" w:bottom="1160" w:left="1680" w:right="1380"/>
        </w:sectPr>
      </w:pPr>
    </w:p>
    <w:p>
      <w:pPr>
        <w:spacing w:line="515" w:lineRule="exact" w:before="0"/>
        <w:ind w:left="760" w:right="0" w:firstLine="0"/>
        <w:jc w:val="both"/>
        <w:rPr>
          <w:sz w:val="32"/>
        </w:rPr>
      </w:pPr>
      <w:r>
        <w:rPr>
          <w:rFonts w:ascii="Microsoft JhengHei" w:eastAsia="Microsoft JhengHei"/>
          <w:b/>
          <w:spacing w:val="12"/>
          <w:sz w:val="32"/>
        </w:rPr>
        <w:t>第二十七条  </w:t>
      </w:r>
      <w:r>
        <w:rPr>
          <w:spacing w:val="-1"/>
          <w:sz w:val="32"/>
        </w:rPr>
        <w:t>市社科联、市社科规划办负责组织项目实</w:t>
      </w:r>
    </w:p>
    <w:p>
      <w:pPr>
        <w:pStyle w:val="BodyText"/>
        <w:spacing w:line="324" w:lineRule="auto"/>
        <w:ind w:right="405"/>
        <w:jc w:val="both"/>
      </w:pPr>
      <w:r>
        <w:rPr>
          <w:spacing w:val="-2"/>
        </w:rPr>
        <w:t>施过程中的监督检查与考核工作。项目实行年度检查制度，重点了解课题承担人的学术轨迹和项目研究进度，对可能出现的偏差予以及时纠正和引导。项目责任单位科研管理部门和课题承担人须按要求配合做好项目检查工作。</w:t>
      </w:r>
    </w:p>
    <w:p>
      <w:pPr>
        <w:spacing w:line="482" w:lineRule="exact" w:before="0"/>
        <w:ind w:left="760" w:right="0" w:firstLine="0"/>
        <w:jc w:val="both"/>
        <w:rPr>
          <w:sz w:val="32"/>
        </w:rPr>
      </w:pPr>
      <w:r>
        <w:rPr>
          <w:rFonts w:ascii="Microsoft JhengHei" w:eastAsia="Microsoft JhengHei"/>
          <w:b/>
          <w:spacing w:val="12"/>
          <w:sz w:val="32"/>
        </w:rPr>
        <w:t>第二十八条  </w:t>
      </w:r>
      <w:r>
        <w:rPr>
          <w:spacing w:val="-1"/>
          <w:sz w:val="32"/>
        </w:rPr>
        <w:t>项目实施过程中，如有重要事项需要变更，</w:t>
      </w:r>
    </w:p>
    <w:p>
      <w:pPr>
        <w:pStyle w:val="BodyText"/>
        <w:spacing w:line="321" w:lineRule="auto" w:before="73"/>
        <w:ind w:right="420"/>
        <w:jc w:val="both"/>
      </w:pPr>
      <w:r>
        <w:rPr>
          <w:spacing w:val="-2"/>
        </w:rPr>
        <w:t>课题承担人须填写《北京市社会科学基金青年学术带头人项目重要事项变更审批表》，分类履行审批程序。涉及审批事项在未被批准前不得自行变更。</w:t>
      </w:r>
    </w:p>
    <w:p>
      <w:pPr>
        <w:pStyle w:val="BodyText"/>
        <w:spacing w:line="321" w:lineRule="auto" w:before="8"/>
        <w:ind w:right="417" w:firstLine="640"/>
        <w:jc w:val="both"/>
      </w:pPr>
      <w:r>
        <w:rPr>
          <w:spacing w:val="-2"/>
        </w:rPr>
        <w:t>（一）变更项目责任单位、研究内容或研究计划有重大调整、延期鉴定结项、因故终止项目研究等事项，经项目责任单位审核同意后，报市社科联、社科规划办审批；</w:t>
      </w:r>
    </w:p>
    <w:p>
      <w:pPr>
        <w:pStyle w:val="BodyText"/>
        <w:spacing w:line="321" w:lineRule="auto" w:before="7"/>
        <w:ind w:right="259" w:firstLine="640"/>
      </w:pPr>
      <w:r>
        <w:rPr>
          <w:spacing w:val="-2"/>
        </w:rPr>
        <w:t>（二</w:t>
      </w:r>
      <w:r>
        <w:rPr>
          <w:spacing w:val="-87"/>
        </w:rPr>
        <w:t>）</w:t>
      </w:r>
      <w:r>
        <w:rPr>
          <w:spacing w:val="-10"/>
        </w:rPr>
        <w:t>调整项目资金预算等事项，由项目责任单位审批，</w:t>
      </w:r>
      <w:r>
        <w:rPr>
          <w:spacing w:val="-2"/>
        </w:rPr>
        <w:t>报市社科联、市社科规划办备案；</w:t>
      </w:r>
    </w:p>
    <w:p>
      <w:pPr>
        <w:pStyle w:val="BodyText"/>
        <w:spacing w:before="4"/>
        <w:ind w:left="760"/>
      </w:pPr>
      <w:r>
        <w:rPr>
          <w:spacing w:val="-4"/>
        </w:rPr>
        <w:t>（三）</w:t>
      </w:r>
      <w:r>
        <w:rPr>
          <w:spacing w:val="-5"/>
        </w:rPr>
        <w:t>最终成果形式在正式立项后不得变更。</w:t>
      </w:r>
    </w:p>
    <w:p>
      <w:pPr>
        <w:pStyle w:val="BodyText"/>
        <w:spacing w:line="560" w:lineRule="exact" w:before="23"/>
        <w:ind w:right="415" w:firstLine="640"/>
        <w:jc w:val="both"/>
      </w:pPr>
      <w:r>
        <w:rPr>
          <w:rFonts w:ascii="Microsoft JhengHei" w:eastAsia="Microsoft JhengHei"/>
          <w:b/>
          <w:spacing w:val="9"/>
        </w:rPr>
        <w:t>第二十九条 </w:t>
      </w:r>
      <w:r>
        <w:rPr>
          <w:spacing w:val="11"/>
        </w:rPr>
        <w:t>对于研究期满无法按计划鉴定结项的项</w:t>
      </w:r>
      <w:r>
        <w:rPr>
          <w:spacing w:val="-2"/>
        </w:rPr>
        <w:t>目，实行一次延期、到期清理制度。课题承担人须在研究期</w:t>
      </w:r>
      <w:r>
        <w:rPr>
          <w:spacing w:val="-37"/>
        </w:rPr>
        <w:t>满 </w:t>
      </w:r>
      <w:r>
        <w:rPr>
          <w:spacing w:val="-4"/>
        </w:rPr>
        <w:t>2</w:t>
      </w:r>
      <w:r>
        <w:rPr>
          <w:spacing w:val="-13"/>
        </w:rPr>
        <w:t> 个月前按程序提交延期申请，只限申请一次，延期时间</w:t>
      </w:r>
    </w:p>
    <w:p>
      <w:pPr>
        <w:pStyle w:val="BodyText"/>
        <w:spacing w:before="122"/>
        <w:jc w:val="both"/>
      </w:pPr>
      <w:r>
        <w:rPr>
          <w:spacing w:val="-15"/>
        </w:rPr>
        <w:t>原则不超过 </w:t>
      </w:r>
      <w:r>
        <w:rPr>
          <w:spacing w:val="-4"/>
        </w:rPr>
        <w:t>1</w:t>
      </w:r>
      <w:r>
        <w:rPr>
          <w:spacing w:val="-12"/>
        </w:rPr>
        <w:t> 年。延期届满仍未完成的，将进行清理。</w:t>
      </w:r>
    </w:p>
    <w:p>
      <w:pPr>
        <w:pStyle w:val="BodyText"/>
        <w:spacing w:line="271" w:lineRule="auto" w:before="79"/>
        <w:ind w:right="417" w:firstLine="636"/>
        <w:jc w:val="both"/>
      </w:pPr>
      <w:r>
        <w:rPr>
          <w:rFonts w:ascii="Microsoft JhengHei" w:eastAsia="Microsoft JhengHei"/>
          <w:b/>
        </w:rPr>
        <w:t>第三十条 </w:t>
      </w:r>
      <w:r>
        <w:rPr/>
        <w:t>项目实施期间，课题承担人发表、出版的相</w:t>
      </w:r>
      <w:r>
        <w:rPr>
          <w:spacing w:val="-5"/>
        </w:rPr>
        <w:t>关论文、著作、研究报告、研究成果和应用成果等，应当标</w:t>
      </w:r>
    </w:p>
    <w:p>
      <w:pPr>
        <w:pStyle w:val="BodyText"/>
        <w:spacing w:line="321" w:lineRule="auto" w:before="90"/>
        <w:ind w:right="420"/>
        <w:jc w:val="both"/>
      </w:pPr>
      <w:r>
        <w:rPr>
          <w:spacing w:val="-2"/>
        </w:rPr>
        <w:t>注北京市社会科学基金项目信息。凡以北京市社会科学基金项目名义发表的阶段性成果或最终成果，不得同时标注其他项目信息。未按上述规定标注的，不予认定为项目成果。</w:t>
      </w:r>
    </w:p>
    <w:p>
      <w:pPr>
        <w:spacing w:after="0" w:line="321" w:lineRule="auto"/>
        <w:jc w:val="both"/>
        <w:sectPr>
          <w:pgSz w:w="11910" w:h="16840"/>
          <w:pgMar w:header="0" w:footer="979" w:top="1520" w:bottom="1160" w:left="1680" w:right="1380"/>
        </w:sectPr>
      </w:pPr>
    </w:p>
    <w:p>
      <w:pPr>
        <w:tabs>
          <w:tab w:pos="2779" w:val="left" w:leader="none"/>
        </w:tabs>
        <w:spacing w:line="515" w:lineRule="exact" w:before="0"/>
        <w:ind w:left="760" w:right="0" w:firstLine="0"/>
        <w:jc w:val="left"/>
        <w:rPr>
          <w:sz w:val="32"/>
        </w:rPr>
      </w:pPr>
      <w:r>
        <w:rPr>
          <w:rFonts w:ascii="Microsoft JhengHei" w:eastAsia="Microsoft JhengHei"/>
          <w:b/>
          <w:spacing w:val="11"/>
          <w:sz w:val="32"/>
        </w:rPr>
        <w:t>第三十一</w:t>
      </w:r>
      <w:r>
        <w:rPr>
          <w:rFonts w:ascii="Microsoft JhengHei" w:eastAsia="Microsoft JhengHei"/>
          <w:b/>
          <w:spacing w:val="-10"/>
          <w:sz w:val="32"/>
        </w:rPr>
        <w:t>条</w:t>
      </w:r>
      <w:r>
        <w:rPr>
          <w:rFonts w:ascii="Microsoft JhengHei" w:eastAsia="Microsoft JhengHei"/>
          <w:b/>
          <w:sz w:val="32"/>
        </w:rPr>
        <w:tab/>
      </w:r>
      <w:r>
        <w:rPr>
          <w:spacing w:val="10"/>
          <w:sz w:val="32"/>
        </w:rPr>
        <w:t>凡涉及国家秘密或重要敏感问题的阶</w:t>
      </w:r>
      <w:r>
        <w:rPr>
          <w:spacing w:val="-10"/>
          <w:sz w:val="32"/>
        </w:rPr>
        <w:t>段</w:t>
      </w:r>
    </w:p>
    <w:p>
      <w:pPr>
        <w:pStyle w:val="BodyText"/>
        <w:spacing w:line="321" w:lineRule="auto"/>
        <w:ind w:right="420"/>
      </w:pPr>
      <w:r>
        <w:rPr>
          <w:spacing w:val="-2"/>
        </w:rPr>
        <w:t>性研究成果准备出版、发表的，须报市社科联、市社科规划</w:t>
      </w:r>
      <w:r>
        <w:rPr>
          <w:spacing w:val="-4"/>
        </w:rPr>
        <w:t>办审批。</w:t>
      </w:r>
    </w:p>
    <w:p>
      <w:pPr>
        <w:pStyle w:val="BodyText"/>
        <w:spacing w:before="162"/>
        <w:ind w:left="0" w:right="300"/>
        <w:jc w:val="center"/>
        <w:rPr>
          <w:rFonts w:ascii="黑体" w:eastAsia="黑体"/>
        </w:rPr>
      </w:pPr>
      <w:r>
        <w:rPr>
          <w:rFonts w:ascii="黑体" w:eastAsia="黑体"/>
        </w:rPr>
        <w:t>第七章</w:t>
      </w:r>
      <w:r>
        <w:rPr>
          <w:rFonts w:ascii="黑体" w:eastAsia="黑体"/>
          <w:spacing w:val="63"/>
          <w:w w:val="150"/>
        </w:rPr>
        <w:t> </w:t>
      </w:r>
      <w:r>
        <w:rPr>
          <w:rFonts w:ascii="黑体" w:eastAsia="黑体"/>
          <w:spacing w:val="-3"/>
        </w:rPr>
        <w:t>鉴定结项</w:t>
      </w:r>
    </w:p>
    <w:p>
      <w:pPr>
        <w:pStyle w:val="BodyText"/>
        <w:spacing w:line="271" w:lineRule="auto" w:before="235"/>
        <w:ind w:right="420" w:firstLine="640"/>
        <w:jc w:val="both"/>
      </w:pPr>
      <w:r>
        <w:rPr>
          <w:rFonts w:ascii="Microsoft JhengHei" w:eastAsia="Microsoft JhengHei"/>
          <w:b/>
        </w:rPr>
        <w:t>第三十二条 </w:t>
      </w:r>
      <w:r>
        <w:rPr/>
        <w:t>突出代表性成果评价。项目最终成果形式</w:t>
      </w:r>
      <w:r>
        <w:rPr>
          <w:spacing w:val="-2"/>
        </w:rPr>
        <w:t>一般为系列论文或专著。</w:t>
      </w:r>
    </w:p>
    <w:p>
      <w:pPr>
        <w:pStyle w:val="ListParagraph"/>
        <w:numPr>
          <w:ilvl w:val="0"/>
          <w:numId w:val="2"/>
        </w:numPr>
        <w:tabs>
          <w:tab w:pos="1078" w:val="left" w:leader="none"/>
        </w:tabs>
        <w:spacing w:line="240" w:lineRule="auto" w:before="90" w:after="0"/>
        <w:ind w:left="1078" w:right="0" w:hanging="318"/>
        <w:jc w:val="both"/>
        <w:rPr>
          <w:sz w:val="32"/>
        </w:rPr>
      </w:pPr>
      <w:r>
        <w:rPr>
          <w:spacing w:val="-8"/>
          <w:sz w:val="32"/>
        </w:rPr>
        <w:t>系列论文。课题承担人作为第一作者至少发表 </w:t>
      </w:r>
      <w:r>
        <w:rPr>
          <w:spacing w:val="-4"/>
          <w:sz w:val="32"/>
        </w:rPr>
        <w:t>6</w:t>
      </w:r>
      <w:r>
        <w:rPr>
          <w:spacing w:val="-29"/>
          <w:sz w:val="32"/>
        </w:rPr>
        <w:t> 篇学</w:t>
      </w:r>
    </w:p>
    <w:p>
      <w:pPr>
        <w:pStyle w:val="BodyText"/>
        <w:spacing w:line="324" w:lineRule="auto" w:before="143"/>
        <w:ind w:right="417"/>
        <w:jc w:val="both"/>
      </w:pPr>
      <w:r>
        <w:rPr>
          <w:spacing w:val="-3"/>
        </w:rPr>
        <w:t>术论文或理论文章，并附 </w:t>
      </w:r>
      <w:r>
        <w:rPr/>
        <w:t>3000</w:t>
      </w:r>
      <w:r>
        <w:rPr>
          <w:spacing w:val="-5"/>
        </w:rPr>
        <w:t> 字以内项目研究总论。鼓励</w:t>
      </w:r>
      <w:r>
        <w:rPr>
          <w:spacing w:val="-2"/>
        </w:rPr>
        <w:t>发表高质量学术论文，如课题承担人作为第一作者在顶级或</w:t>
      </w:r>
      <w:r>
        <w:rPr>
          <w:spacing w:val="-12"/>
        </w:rPr>
        <w:t>权威期刊上发表 </w:t>
      </w:r>
      <w:r>
        <w:rPr>
          <w:spacing w:val="-4"/>
        </w:rPr>
        <w:t>1</w:t>
      </w:r>
      <w:r>
        <w:rPr>
          <w:spacing w:val="-13"/>
        </w:rPr>
        <w:t> 篇学术论文，可等同于在其他学术期刊上</w:t>
      </w:r>
    </w:p>
    <w:p>
      <w:pPr>
        <w:pStyle w:val="BodyText"/>
        <w:spacing w:line="411" w:lineRule="exact" w:before="0"/>
        <w:jc w:val="both"/>
      </w:pPr>
      <w:r>
        <w:rPr>
          <w:spacing w:val="-27"/>
        </w:rPr>
        <w:t>发表 </w:t>
      </w:r>
      <w:r>
        <w:rPr>
          <w:spacing w:val="-4"/>
        </w:rPr>
        <w:t>3</w:t>
      </w:r>
      <w:r>
        <w:rPr>
          <w:spacing w:val="-16"/>
        </w:rPr>
        <w:t> 篇学术论文。</w:t>
      </w:r>
    </w:p>
    <w:p>
      <w:pPr>
        <w:pStyle w:val="ListParagraph"/>
        <w:numPr>
          <w:ilvl w:val="0"/>
          <w:numId w:val="2"/>
        </w:numPr>
        <w:tabs>
          <w:tab w:pos="1078" w:val="left" w:leader="none"/>
        </w:tabs>
        <w:spacing w:line="324" w:lineRule="auto" w:before="143" w:after="0"/>
        <w:ind w:left="120" w:right="420" w:firstLine="640"/>
        <w:jc w:val="both"/>
        <w:rPr>
          <w:sz w:val="32"/>
        </w:rPr>
      </w:pPr>
      <w:r>
        <w:rPr>
          <w:spacing w:val="-12"/>
          <w:sz w:val="32"/>
        </w:rPr>
        <w:t>专著。正文字数应在 </w:t>
      </w:r>
      <w:r>
        <w:rPr>
          <w:spacing w:val="-10"/>
          <w:sz w:val="32"/>
        </w:rPr>
        <w:t>15</w:t>
      </w:r>
      <w:r>
        <w:rPr>
          <w:spacing w:val="-17"/>
          <w:sz w:val="32"/>
        </w:rPr>
        <w:t> 万字以上，并附 </w:t>
      </w:r>
      <w:r>
        <w:rPr>
          <w:spacing w:val="-10"/>
          <w:sz w:val="32"/>
        </w:rPr>
        <w:t>3000</w:t>
      </w:r>
      <w:r>
        <w:rPr>
          <w:spacing w:val="-16"/>
          <w:sz w:val="32"/>
        </w:rPr>
        <w:t> 字以内</w:t>
      </w:r>
      <w:r>
        <w:rPr>
          <w:spacing w:val="-2"/>
          <w:sz w:val="32"/>
        </w:rPr>
        <w:t>成果提要。</w:t>
      </w:r>
    </w:p>
    <w:p>
      <w:pPr>
        <w:spacing w:line="486" w:lineRule="exact" w:before="0"/>
        <w:ind w:left="760" w:right="0" w:firstLine="0"/>
        <w:jc w:val="both"/>
        <w:rPr>
          <w:sz w:val="32"/>
        </w:rPr>
      </w:pPr>
      <w:r>
        <w:rPr>
          <w:rFonts w:ascii="Microsoft JhengHei" w:eastAsia="Microsoft JhengHei"/>
          <w:b/>
          <w:spacing w:val="12"/>
          <w:sz w:val="32"/>
        </w:rPr>
        <w:t>第三十三条  </w:t>
      </w:r>
      <w:r>
        <w:rPr>
          <w:spacing w:val="-1"/>
          <w:sz w:val="32"/>
        </w:rPr>
        <w:t>项目研究期满，课题承担人应当及时提交</w:t>
      </w:r>
    </w:p>
    <w:p>
      <w:pPr>
        <w:pStyle w:val="BodyText"/>
        <w:spacing w:line="324" w:lineRule="auto"/>
        <w:ind w:right="259"/>
      </w:pPr>
      <w:r>
        <w:rPr>
          <w:spacing w:val="-2"/>
        </w:rPr>
        <w:t>结项报告和课题成果，经项目责任单位科研管理部门审核同</w:t>
      </w:r>
      <w:r>
        <w:rPr>
          <w:spacing w:val="-16"/>
        </w:rPr>
        <w:t>意后，统一报送市社科联、市社科规划办申请最终成果鉴定。</w:t>
      </w:r>
      <w:r>
        <w:rPr>
          <w:spacing w:val="-2"/>
        </w:rPr>
        <w:t>最终成果通过专家鉴定和市社科联、市社科规划办审核验收后，方可公开出版。</w:t>
      </w:r>
    </w:p>
    <w:p>
      <w:pPr>
        <w:spacing w:line="484" w:lineRule="exact" w:before="0"/>
        <w:ind w:left="760" w:right="0" w:firstLine="0"/>
        <w:jc w:val="left"/>
        <w:rPr>
          <w:sz w:val="32"/>
        </w:rPr>
      </w:pPr>
      <w:r>
        <w:rPr>
          <w:rFonts w:ascii="Microsoft JhengHei" w:eastAsia="Microsoft JhengHei"/>
          <w:b/>
          <w:spacing w:val="12"/>
          <w:sz w:val="32"/>
        </w:rPr>
        <w:t>第三十四条  </w:t>
      </w:r>
      <w:r>
        <w:rPr>
          <w:spacing w:val="-1"/>
          <w:sz w:val="32"/>
        </w:rPr>
        <w:t>市社科联、市社科规划办负责组织项目成</w:t>
      </w:r>
    </w:p>
    <w:p>
      <w:pPr>
        <w:pStyle w:val="BodyText"/>
        <w:spacing w:line="285" w:lineRule="auto" w:before="71"/>
        <w:ind w:left="760" w:right="417" w:hanging="641"/>
      </w:pPr>
      <w:r>
        <w:rPr>
          <w:spacing w:val="-2"/>
        </w:rPr>
        <w:t>果鉴定。成果鉴定等级分为优秀、良好、合格、不合格。</w:t>
      </w:r>
      <w:r>
        <w:rPr>
          <w:spacing w:val="-2"/>
        </w:rPr>
        <w:t> </w:t>
      </w:r>
      <w:r>
        <w:rPr>
          <w:rFonts w:ascii="Microsoft JhengHei" w:eastAsia="Microsoft JhengHei"/>
          <w:b/>
          <w:spacing w:val="12"/>
        </w:rPr>
        <w:t>第三十五条  </w:t>
      </w:r>
      <w:r>
        <w:rPr>
          <w:spacing w:val="-1"/>
        </w:rPr>
        <w:t>项目在完成研究目标和计划的基础上，在</w:t>
      </w:r>
    </w:p>
    <w:p>
      <w:pPr>
        <w:pStyle w:val="BodyText"/>
        <w:spacing w:line="383" w:lineRule="exact" w:before="0"/>
      </w:pPr>
      <w:r>
        <w:rPr>
          <w:spacing w:val="-4"/>
        </w:rPr>
        <w:t>研期间产生的与项目主题密切相关的研究成果（</w:t>
      </w:r>
      <w:r>
        <w:rPr>
          <w:spacing w:val="-6"/>
        </w:rPr>
        <w:t>含阶段性成</w:t>
      </w:r>
    </w:p>
    <w:p>
      <w:pPr>
        <w:pStyle w:val="BodyText"/>
        <w:spacing w:line="321" w:lineRule="auto" w:before="143"/>
        <w:ind w:left="760" w:right="2964" w:hanging="641"/>
      </w:pPr>
      <w:r>
        <w:rPr>
          <w:spacing w:val="-2"/>
        </w:rPr>
        <w:t>果）符合以下条件的，可申请免于鉴定。符合下列条件之一即可：</w:t>
      </w:r>
    </w:p>
    <w:p>
      <w:pPr>
        <w:spacing w:after="0" w:line="321" w:lineRule="auto"/>
        <w:sectPr>
          <w:pgSz w:w="11910" w:h="16840"/>
          <w:pgMar w:header="0" w:footer="979" w:top="1520" w:bottom="1160" w:left="1680" w:right="1380"/>
        </w:sectPr>
      </w:pPr>
    </w:p>
    <w:p>
      <w:pPr>
        <w:pStyle w:val="BodyText"/>
        <w:spacing w:line="321" w:lineRule="auto" w:before="26"/>
        <w:ind w:right="420" w:firstLine="640"/>
      </w:pPr>
      <w:r>
        <w:rPr>
          <w:spacing w:val="-2"/>
        </w:rPr>
        <w:t>（一）课题承担人作为第一作者在顶级或权威期刊上发</w:t>
      </w:r>
      <w:r>
        <w:rPr>
          <w:spacing w:val="-6"/>
        </w:rPr>
        <w:t>表论文 </w:t>
      </w:r>
      <w:r>
        <w:rPr/>
        <w:t>2</w:t>
      </w:r>
      <w:r>
        <w:rPr>
          <w:spacing w:val="-8"/>
        </w:rPr>
        <w:t> 篇；</w:t>
      </w:r>
    </w:p>
    <w:p>
      <w:pPr>
        <w:pStyle w:val="BodyText"/>
        <w:spacing w:line="324" w:lineRule="auto" w:before="3"/>
        <w:ind w:right="417" w:firstLine="640"/>
      </w:pPr>
      <w:r>
        <w:rPr>
          <w:spacing w:val="-2"/>
        </w:rPr>
        <w:t>（二）研究成果在《中国社会科学》发表或被《新华文摘》全文转载；</w:t>
      </w:r>
    </w:p>
    <w:p>
      <w:pPr>
        <w:pStyle w:val="BodyText"/>
        <w:spacing w:line="321" w:lineRule="auto" w:before="0"/>
        <w:ind w:right="419" w:firstLine="640"/>
      </w:pPr>
      <w:r>
        <w:rPr>
          <w:spacing w:val="-2"/>
        </w:rPr>
        <w:t>（三）研究成果获得省部级以上奖项或本学科领域公认的国内外重大奖项。</w:t>
      </w:r>
    </w:p>
    <w:p>
      <w:pPr>
        <w:tabs>
          <w:tab w:pos="2687" w:val="left" w:leader="none"/>
        </w:tabs>
        <w:spacing w:line="495" w:lineRule="exact" w:before="0"/>
        <w:ind w:left="760" w:right="0" w:firstLine="0"/>
        <w:jc w:val="left"/>
        <w:rPr>
          <w:sz w:val="32"/>
        </w:rPr>
      </w:pPr>
      <w:r>
        <w:rPr>
          <w:rFonts w:ascii="Microsoft JhengHei" w:hAnsi="Microsoft JhengHei" w:eastAsia="Microsoft JhengHei"/>
          <w:b/>
          <w:spacing w:val="-2"/>
          <w:sz w:val="32"/>
        </w:rPr>
        <w:t>第三十六</w:t>
      </w:r>
      <w:r>
        <w:rPr>
          <w:rFonts w:ascii="Microsoft JhengHei" w:hAnsi="Microsoft JhengHei" w:eastAsia="Microsoft JhengHei"/>
          <w:b/>
          <w:spacing w:val="-10"/>
          <w:sz w:val="32"/>
        </w:rPr>
        <w:t>条</w:t>
      </w:r>
      <w:r>
        <w:rPr>
          <w:rFonts w:ascii="Microsoft JhengHei" w:hAnsi="Microsoft JhengHei" w:eastAsia="Microsoft JhengHei"/>
          <w:b/>
          <w:sz w:val="32"/>
        </w:rPr>
        <w:tab/>
      </w:r>
      <w:r>
        <w:rPr>
          <w:spacing w:val="-4"/>
          <w:sz w:val="32"/>
        </w:rPr>
        <w:t>最终成果鉴定等级</w:t>
      </w:r>
      <w:r>
        <w:rPr>
          <w:spacing w:val="-91"/>
          <w:sz w:val="32"/>
        </w:rPr>
        <w:t>为</w:t>
      </w:r>
      <w:r>
        <w:rPr>
          <w:spacing w:val="-4"/>
          <w:sz w:val="32"/>
        </w:rPr>
        <w:t>“合格</w:t>
      </w:r>
      <w:r>
        <w:rPr>
          <w:spacing w:val="-89"/>
          <w:sz w:val="32"/>
        </w:rPr>
        <w:t>”</w:t>
      </w:r>
      <w:r>
        <w:rPr>
          <w:spacing w:val="-4"/>
          <w:sz w:val="32"/>
        </w:rPr>
        <w:t>以上的项目</w:t>
      </w:r>
      <w:r>
        <w:rPr>
          <w:spacing w:val="-10"/>
          <w:sz w:val="32"/>
        </w:rPr>
        <w:t>，</w:t>
      </w:r>
    </w:p>
    <w:p>
      <w:pPr>
        <w:pStyle w:val="BodyText"/>
        <w:spacing w:line="324" w:lineRule="auto" w:before="68"/>
        <w:ind w:right="259"/>
      </w:pPr>
      <w:r>
        <w:rPr>
          <w:spacing w:val="-2"/>
        </w:rPr>
        <w:t>课题承担人按照规定办理结项手续，市社科联、市社科规划</w:t>
      </w:r>
      <w:r>
        <w:rPr>
          <w:spacing w:val="-15"/>
        </w:rPr>
        <w:t>办审核通过后准予结项，颁发结项证书。结项等级分为优秀、</w:t>
      </w:r>
      <w:r>
        <w:rPr>
          <w:spacing w:val="-2"/>
        </w:rPr>
        <w:t>良好、合格。</w:t>
      </w:r>
    </w:p>
    <w:p>
      <w:pPr>
        <w:tabs>
          <w:tab w:pos="2687" w:val="left" w:leader="none"/>
        </w:tabs>
        <w:spacing w:line="484" w:lineRule="exact" w:before="0"/>
        <w:ind w:left="760" w:right="0" w:firstLine="0"/>
        <w:jc w:val="left"/>
        <w:rPr>
          <w:sz w:val="32"/>
        </w:rPr>
      </w:pPr>
      <w:r>
        <w:rPr>
          <w:rFonts w:ascii="Microsoft JhengHei" w:hAnsi="Microsoft JhengHei" w:eastAsia="Microsoft JhengHei"/>
          <w:b/>
          <w:spacing w:val="-2"/>
          <w:sz w:val="32"/>
        </w:rPr>
        <w:t>第三十七</w:t>
      </w:r>
      <w:r>
        <w:rPr>
          <w:rFonts w:ascii="Microsoft JhengHei" w:hAnsi="Microsoft JhengHei" w:eastAsia="Microsoft JhengHei"/>
          <w:b/>
          <w:spacing w:val="-10"/>
          <w:sz w:val="32"/>
        </w:rPr>
        <w:t>条</w:t>
      </w:r>
      <w:r>
        <w:rPr>
          <w:rFonts w:ascii="Microsoft JhengHei" w:hAnsi="Microsoft JhengHei" w:eastAsia="Microsoft JhengHei"/>
          <w:b/>
          <w:sz w:val="32"/>
        </w:rPr>
        <w:tab/>
      </w:r>
      <w:r>
        <w:rPr>
          <w:spacing w:val="-4"/>
          <w:sz w:val="32"/>
        </w:rPr>
        <w:t>最终成果鉴定等级为“不合格”的项目</w:t>
      </w:r>
      <w:r>
        <w:rPr>
          <w:spacing w:val="-10"/>
          <w:sz w:val="32"/>
        </w:rPr>
        <w:t>，</w:t>
      </w:r>
    </w:p>
    <w:p>
      <w:pPr>
        <w:pStyle w:val="BodyText"/>
        <w:spacing w:line="324" w:lineRule="auto"/>
        <w:ind w:right="420"/>
      </w:pPr>
      <w:r>
        <w:rPr>
          <w:spacing w:val="-2"/>
        </w:rPr>
        <w:t>课题承担人应当按照鉴定意见在规定时间内完成修改，申请二次鉴定。</w:t>
      </w:r>
    </w:p>
    <w:p>
      <w:pPr>
        <w:pStyle w:val="BodyText"/>
        <w:spacing w:before="154"/>
        <w:ind w:left="0" w:right="300"/>
        <w:jc w:val="center"/>
        <w:rPr>
          <w:rFonts w:ascii="黑体" w:eastAsia="黑体"/>
        </w:rPr>
      </w:pPr>
      <w:r>
        <w:rPr>
          <w:rFonts w:ascii="黑体" w:eastAsia="黑体"/>
        </w:rPr>
        <w:t>第八章</w:t>
      </w:r>
      <w:r>
        <w:rPr>
          <w:rFonts w:ascii="黑体" w:eastAsia="黑体"/>
          <w:spacing w:val="62"/>
          <w:w w:val="150"/>
        </w:rPr>
        <w:t> </w:t>
      </w:r>
      <w:r>
        <w:rPr>
          <w:rFonts w:ascii="黑体" w:eastAsia="黑体"/>
          <w:spacing w:val="-2"/>
        </w:rPr>
        <w:t>监督与处罚</w:t>
      </w:r>
    </w:p>
    <w:p>
      <w:pPr>
        <w:tabs>
          <w:tab w:pos="2656" w:val="left" w:leader="none"/>
        </w:tabs>
        <w:spacing w:before="235"/>
        <w:ind w:left="120" w:right="0" w:firstLine="607"/>
        <w:jc w:val="left"/>
        <w:rPr>
          <w:sz w:val="32"/>
        </w:rPr>
      </w:pPr>
      <w:r>
        <w:rPr>
          <w:rFonts w:ascii="Microsoft JhengHei" w:eastAsia="Microsoft JhengHei"/>
          <w:b/>
          <w:spacing w:val="-2"/>
          <w:sz w:val="32"/>
        </w:rPr>
        <w:t>第三十八</w:t>
      </w:r>
      <w:r>
        <w:rPr>
          <w:rFonts w:ascii="Microsoft JhengHei" w:eastAsia="Microsoft JhengHei"/>
          <w:b/>
          <w:spacing w:val="-10"/>
          <w:sz w:val="32"/>
        </w:rPr>
        <w:t>条</w:t>
      </w:r>
      <w:r>
        <w:rPr>
          <w:rFonts w:ascii="Microsoft JhengHei" w:eastAsia="Microsoft JhengHei"/>
          <w:b/>
          <w:sz w:val="32"/>
        </w:rPr>
        <w:tab/>
      </w:r>
      <w:r>
        <w:rPr>
          <w:spacing w:val="-4"/>
          <w:sz w:val="32"/>
        </w:rPr>
        <w:t>有下列情形之一的，项目责任单位科研</w:t>
      </w:r>
      <w:r>
        <w:rPr>
          <w:spacing w:val="-10"/>
          <w:sz w:val="32"/>
        </w:rPr>
        <w:t>管</w:t>
      </w:r>
    </w:p>
    <w:p>
      <w:pPr>
        <w:pStyle w:val="BodyText"/>
        <w:spacing w:line="321" w:lineRule="auto" w:before="72"/>
        <w:ind w:right="417"/>
      </w:pPr>
      <w:r>
        <w:rPr>
          <w:spacing w:val="-2"/>
        </w:rPr>
        <w:t>理部门应及时向市社科联、市社科规划办说明情况，市社科联、市社科规划办视情节轻重予以终止或撤销项目处理。</w:t>
      </w:r>
    </w:p>
    <w:p>
      <w:pPr>
        <w:pStyle w:val="BodyText"/>
        <w:spacing w:before="4"/>
        <w:ind w:left="760"/>
      </w:pPr>
      <w:r>
        <w:rPr>
          <w:spacing w:val="-10"/>
        </w:rPr>
        <w:t>（一）项目成果（含阶段性成果，下同）存在政治问题；</w:t>
      </w:r>
    </w:p>
    <w:p>
      <w:pPr>
        <w:pStyle w:val="BodyText"/>
        <w:spacing w:before="146"/>
        <w:ind w:left="760"/>
      </w:pPr>
      <w:r>
        <w:rPr>
          <w:spacing w:val="-4"/>
        </w:rPr>
        <w:t>（二）</w:t>
      </w:r>
      <w:r>
        <w:rPr>
          <w:spacing w:val="-5"/>
        </w:rPr>
        <w:t>项目研究中存在剽窃或弄虚作假等学术不端行为；</w:t>
      </w:r>
    </w:p>
    <w:p>
      <w:pPr>
        <w:pStyle w:val="BodyText"/>
        <w:spacing w:before="143"/>
        <w:ind w:left="760"/>
      </w:pPr>
      <w:r>
        <w:rPr>
          <w:spacing w:val="-4"/>
        </w:rPr>
        <w:t>（三）</w:t>
      </w:r>
      <w:r>
        <w:rPr>
          <w:spacing w:val="-5"/>
        </w:rPr>
        <w:t>严重违反资助资金使用和管理规定；</w:t>
      </w:r>
    </w:p>
    <w:p>
      <w:pPr>
        <w:pStyle w:val="BodyText"/>
        <w:spacing w:before="143"/>
        <w:ind w:left="760"/>
      </w:pPr>
      <w:r>
        <w:rPr>
          <w:spacing w:val="-4"/>
        </w:rPr>
        <w:t>（四）</w:t>
      </w:r>
      <w:r>
        <w:rPr>
          <w:spacing w:val="-5"/>
        </w:rPr>
        <w:t>项目成果严重偏离预期研究目标；</w:t>
      </w:r>
    </w:p>
    <w:p>
      <w:pPr>
        <w:pStyle w:val="BodyText"/>
        <w:spacing w:line="321" w:lineRule="auto" w:before="146"/>
        <w:ind w:right="417" w:firstLine="640"/>
      </w:pPr>
      <w:r>
        <w:rPr>
          <w:spacing w:val="-2"/>
        </w:rPr>
        <w:t>（五）项目因逾期被清理，清理期满仍未完成或成果鉴定不合格；</w:t>
      </w:r>
    </w:p>
    <w:p>
      <w:pPr>
        <w:pStyle w:val="BodyText"/>
        <w:spacing w:before="3"/>
        <w:ind w:left="760"/>
      </w:pPr>
      <w:r>
        <w:rPr>
          <w:spacing w:val="-4"/>
        </w:rPr>
        <w:t>（六）</w:t>
      </w:r>
      <w:r>
        <w:rPr>
          <w:spacing w:val="-5"/>
        </w:rPr>
        <w:t>项目成果鉴定不合格且鉴定专家认为无修改必要；</w:t>
      </w:r>
    </w:p>
    <w:p>
      <w:pPr>
        <w:spacing w:after="0"/>
        <w:sectPr>
          <w:pgSz w:w="11910" w:h="16840"/>
          <w:pgMar w:header="0" w:footer="979" w:top="1520" w:bottom="1160" w:left="1680" w:right="1380"/>
        </w:sectPr>
      </w:pPr>
    </w:p>
    <w:p>
      <w:pPr>
        <w:pStyle w:val="BodyText"/>
        <w:spacing w:before="26"/>
        <w:ind w:left="760"/>
      </w:pPr>
      <w:r>
        <w:rPr>
          <w:spacing w:val="-4"/>
        </w:rPr>
        <w:t>（七）</w:t>
      </w:r>
      <w:r>
        <w:rPr>
          <w:spacing w:val="-5"/>
        </w:rPr>
        <w:t>项目成果二次鉴定不合格；</w:t>
      </w:r>
    </w:p>
    <w:p>
      <w:pPr>
        <w:pStyle w:val="BodyText"/>
        <w:spacing w:before="143"/>
        <w:ind w:left="760"/>
      </w:pPr>
      <w:r>
        <w:rPr>
          <w:spacing w:val="-4"/>
        </w:rPr>
        <w:t>（八）</w:t>
      </w:r>
      <w:r>
        <w:rPr>
          <w:spacing w:val="-5"/>
        </w:rPr>
        <w:t>存在其他严重问题。</w:t>
      </w:r>
    </w:p>
    <w:p>
      <w:pPr>
        <w:pStyle w:val="BodyText"/>
        <w:spacing w:line="324" w:lineRule="auto" w:before="143"/>
        <w:ind w:right="259" w:firstLine="640"/>
        <w:jc w:val="both"/>
      </w:pPr>
      <w:r>
        <w:rPr>
          <w:rFonts w:ascii="仿宋" w:eastAsia="仿宋" w:hint="eastAsia"/>
          <w:b/>
        </w:rPr>
        <w:t>第三十九条 </w:t>
      </w:r>
      <w:r>
        <w:rPr/>
        <w:t>项目终止的，课题承担人应当整理前期研</w:t>
      </w:r>
      <w:r>
        <w:rPr>
          <w:spacing w:val="-2"/>
        </w:rPr>
        <w:t>究成果和相关资料，经科研管理部门审核后报市社科联、市</w:t>
      </w:r>
      <w:r>
        <w:rPr>
          <w:spacing w:val="-1"/>
        </w:rPr>
        <w:t>社科规划办；已支出的项目资金出具《项目资金收支明细》</w:t>
      </w:r>
    </w:p>
    <w:p>
      <w:pPr>
        <w:pStyle w:val="BodyText"/>
        <w:spacing w:line="411" w:lineRule="exact" w:before="0"/>
      </w:pPr>
      <w:r>
        <w:rPr>
          <w:spacing w:val="-4"/>
        </w:rPr>
        <w:t>（盖财务章</w:t>
      </w:r>
      <w:r>
        <w:rPr>
          <w:spacing w:val="-161"/>
        </w:rPr>
        <w:t>）</w:t>
      </w:r>
      <w:r>
        <w:rPr>
          <w:spacing w:val="-5"/>
        </w:rPr>
        <w:t>，剩余项目资金原渠道退回。</w:t>
      </w:r>
    </w:p>
    <w:p>
      <w:pPr>
        <w:pStyle w:val="BodyText"/>
        <w:spacing w:before="146"/>
        <w:ind w:left="760"/>
      </w:pPr>
      <w:r>
        <w:rPr>
          <w:spacing w:val="-5"/>
        </w:rPr>
        <w:t>项目撤销的，已拨项目资金全额原渠道退回。</w:t>
      </w:r>
    </w:p>
    <w:p>
      <w:pPr>
        <w:pStyle w:val="BodyText"/>
        <w:spacing w:line="271" w:lineRule="auto" w:before="78"/>
        <w:ind w:right="417" w:firstLine="607"/>
        <w:jc w:val="both"/>
      </w:pPr>
      <w:r>
        <w:rPr>
          <w:rFonts w:ascii="Microsoft JhengHei" w:eastAsia="Microsoft JhengHei"/>
          <w:b/>
          <w:spacing w:val="9"/>
        </w:rPr>
        <w:t>第四十条 </w:t>
      </w:r>
      <w:r>
        <w:rPr>
          <w:spacing w:val="12"/>
        </w:rPr>
        <w:t>被终止项目的课题承担人</w:t>
      </w:r>
      <w:r>
        <w:rPr/>
        <w:t>3</w:t>
      </w:r>
      <w:r>
        <w:rPr>
          <w:spacing w:val="2"/>
        </w:rPr>
        <w:t> 年内不得申报新</w:t>
      </w:r>
      <w:r>
        <w:rPr/>
        <w:t>的北京市社会科学基金项目，被撤销项目的课题承担人5</w:t>
      </w:r>
      <w:r>
        <w:rPr>
          <w:spacing w:val="-42"/>
        </w:rPr>
        <w:t> 年</w:t>
      </w:r>
    </w:p>
    <w:p>
      <w:pPr>
        <w:pStyle w:val="BodyText"/>
        <w:spacing w:line="321" w:lineRule="auto" w:before="90"/>
        <w:ind w:right="420"/>
        <w:jc w:val="both"/>
      </w:pPr>
      <w:r>
        <w:rPr>
          <w:spacing w:val="-2"/>
        </w:rPr>
        <w:t>内不得申报新的北京市社会科学基金项目。被终止或撤销的项目,其研究成果在出版、发表或内部印刷时不得使用北京市社会科学基金项目成果等字样。</w:t>
      </w:r>
    </w:p>
    <w:p>
      <w:pPr>
        <w:pStyle w:val="BodyText"/>
        <w:spacing w:before="164"/>
        <w:ind w:left="0" w:right="300"/>
        <w:jc w:val="center"/>
        <w:rPr>
          <w:rFonts w:ascii="黑体" w:eastAsia="黑体"/>
        </w:rPr>
      </w:pPr>
      <w:r>
        <w:rPr>
          <w:rFonts w:ascii="黑体" w:eastAsia="黑体"/>
        </w:rPr>
        <w:t>第九章</w:t>
      </w:r>
      <w:r>
        <w:rPr>
          <w:rFonts w:ascii="黑体" w:eastAsia="黑体"/>
          <w:spacing w:val="63"/>
          <w:w w:val="150"/>
        </w:rPr>
        <w:t> </w:t>
      </w:r>
      <w:r>
        <w:rPr>
          <w:rFonts w:ascii="黑体" w:eastAsia="黑体"/>
          <w:spacing w:val="-3"/>
        </w:rPr>
        <w:t>项目支持</w:t>
      </w:r>
    </w:p>
    <w:p>
      <w:pPr>
        <w:pStyle w:val="BodyText"/>
        <w:spacing w:line="271" w:lineRule="auto" w:before="235"/>
        <w:ind w:right="417" w:firstLine="640"/>
        <w:jc w:val="both"/>
      </w:pPr>
      <w:r>
        <w:rPr>
          <w:rFonts w:ascii="Microsoft JhengHei" w:eastAsia="Microsoft JhengHei"/>
          <w:b/>
        </w:rPr>
        <w:t>第四十一条 </w:t>
      </w:r>
      <w:r>
        <w:rPr/>
        <w:t>市社科联、市社科规划办在项目周期内为</w:t>
      </w:r>
      <w:r>
        <w:rPr>
          <w:spacing w:val="-5"/>
        </w:rPr>
        <w:t>课题承担人提供精准化、个性化的项目支持，引导鼓励其积</w:t>
      </w:r>
    </w:p>
    <w:p>
      <w:pPr>
        <w:pStyle w:val="BodyText"/>
        <w:spacing w:line="321" w:lineRule="auto" w:before="90"/>
        <w:ind w:right="417"/>
        <w:jc w:val="both"/>
      </w:pPr>
      <w:r>
        <w:rPr>
          <w:spacing w:val="-2"/>
        </w:rPr>
        <w:t>极参与学术交流，产出优秀学术成果，助力其逐步成长为政治素质好、基本功扎实、创新能力强、学术水平高、学风作风正、得到同行认可的学术带头人和拔尖人才。</w:t>
      </w:r>
    </w:p>
    <w:p>
      <w:pPr>
        <w:spacing w:line="496" w:lineRule="exact" w:before="0"/>
        <w:ind w:left="760" w:right="0" w:firstLine="0"/>
        <w:jc w:val="both"/>
        <w:rPr>
          <w:sz w:val="32"/>
        </w:rPr>
      </w:pPr>
      <w:r>
        <w:rPr>
          <w:rFonts w:ascii="Microsoft JhengHei" w:eastAsia="Microsoft JhengHei"/>
          <w:b/>
          <w:spacing w:val="12"/>
          <w:sz w:val="32"/>
        </w:rPr>
        <w:t>第四十二条  </w:t>
      </w:r>
      <w:r>
        <w:rPr>
          <w:spacing w:val="-1"/>
          <w:sz w:val="32"/>
        </w:rPr>
        <w:t>组织培训调研。开展专题研修培训，深入</w:t>
      </w:r>
    </w:p>
    <w:p>
      <w:pPr>
        <w:pStyle w:val="BodyText"/>
        <w:spacing w:line="324" w:lineRule="auto"/>
        <w:ind w:right="420"/>
        <w:jc w:val="both"/>
      </w:pPr>
      <w:r>
        <w:rPr>
          <w:spacing w:val="9"/>
        </w:rPr>
        <w:t>学习马克思主义理论和习近平新时代中国特色社会主义思</w:t>
      </w:r>
      <w:r>
        <w:rPr>
          <w:spacing w:val="-2"/>
        </w:rPr>
        <w:t>想，增强运用马克思主义的立场、观点、方法分析解决问题的能力，持续提升其理论素养和业务水平。组织参与社会实践调研，引导青年学者深入了解国家和首都经济社会发展实践，从理论和实践结合上推出更多原创性研究成果。</w:t>
      </w:r>
    </w:p>
    <w:p>
      <w:pPr>
        <w:spacing w:after="0" w:line="324" w:lineRule="auto"/>
        <w:jc w:val="both"/>
        <w:sectPr>
          <w:pgSz w:w="11910" w:h="16840"/>
          <w:pgMar w:header="0" w:footer="979" w:top="1520" w:bottom="1160" w:left="1680" w:right="1380"/>
        </w:sectPr>
      </w:pPr>
    </w:p>
    <w:p>
      <w:pPr>
        <w:spacing w:line="515" w:lineRule="exact" w:before="0"/>
        <w:ind w:left="760" w:right="0" w:firstLine="0"/>
        <w:jc w:val="both"/>
        <w:rPr>
          <w:sz w:val="32"/>
        </w:rPr>
      </w:pPr>
      <w:r>
        <w:rPr>
          <w:rFonts w:ascii="Microsoft JhengHei" w:eastAsia="Microsoft JhengHei"/>
          <w:b/>
          <w:spacing w:val="15"/>
          <w:sz w:val="32"/>
        </w:rPr>
        <w:t>第四十三条  </w:t>
      </w:r>
      <w:r>
        <w:rPr>
          <w:spacing w:val="-1"/>
          <w:sz w:val="32"/>
        </w:rPr>
        <w:t>搭建学术交流平台。充分利用市社科联、</w:t>
      </w:r>
    </w:p>
    <w:p>
      <w:pPr>
        <w:pStyle w:val="BodyText"/>
        <w:spacing w:line="324" w:lineRule="auto"/>
        <w:ind w:right="417"/>
        <w:jc w:val="both"/>
      </w:pPr>
      <w:r>
        <w:rPr>
          <w:spacing w:val="-2"/>
        </w:rPr>
        <w:t>市社科规划办的资源平台，在学术活动、基金出版、科普讲座中加大对课题承担人的资源倾斜。鼓励和支持课题承担人参加各类学术会议和学术交流活动，通过市社科联、市社科规划办品牌学术论坛将青年学者最新研究成果、最新理论观点呈现出来，在促进青年人才全面发展的同时助推首都哲学社会科学繁荣发展。</w:t>
      </w:r>
    </w:p>
    <w:p>
      <w:pPr>
        <w:spacing w:line="479" w:lineRule="exact" w:before="0"/>
        <w:ind w:left="760" w:right="0" w:firstLine="0"/>
        <w:jc w:val="both"/>
        <w:rPr>
          <w:sz w:val="32"/>
        </w:rPr>
      </w:pPr>
      <w:r>
        <w:rPr>
          <w:rFonts w:ascii="Microsoft JhengHei" w:eastAsia="Microsoft JhengHei"/>
          <w:b/>
          <w:spacing w:val="13"/>
          <w:sz w:val="32"/>
        </w:rPr>
        <w:t>第四十四条  </w:t>
      </w:r>
      <w:r>
        <w:rPr>
          <w:spacing w:val="-1"/>
          <w:sz w:val="32"/>
        </w:rPr>
        <w:t>推介研究成果。利用《中国特色社会主义</w:t>
      </w:r>
    </w:p>
    <w:p>
      <w:pPr>
        <w:pStyle w:val="BodyText"/>
        <w:spacing w:line="324" w:lineRule="auto"/>
        <w:ind w:right="417"/>
        <w:jc w:val="both"/>
      </w:pPr>
      <w:r>
        <w:rPr>
          <w:spacing w:val="-9"/>
        </w:rPr>
        <w:t>研究》期刊、北京市社会科学基金项目《成果要报》、北京</w:t>
      </w:r>
      <w:r>
        <w:rPr>
          <w:spacing w:val="-2"/>
        </w:rPr>
        <w:t>社科网等多种渠道，宣传推介优秀青年学者和优秀成果，提升青年学者学术影响力。</w:t>
      </w:r>
    </w:p>
    <w:p>
      <w:pPr>
        <w:spacing w:line="484" w:lineRule="exact" w:before="0"/>
        <w:ind w:left="760" w:right="0" w:firstLine="0"/>
        <w:jc w:val="both"/>
        <w:rPr>
          <w:sz w:val="32"/>
        </w:rPr>
      </w:pPr>
      <w:r>
        <w:rPr>
          <w:rFonts w:ascii="Microsoft JhengHei" w:eastAsia="Microsoft JhengHei"/>
          <w:b/>
          <w:spacing w:val="12"/>
          <w:sz w:val="32"/>
        </w:rPr>
        <w:t>第四十五条  </w:t>
      </w:r>
      <w:r>
        <w:rPr>
          <w:spacing w:val="-1"/>
          <w:sz w:val="32"/>
        </w:rPr>
        <w:t>市社科联、市社科规划办与课题承担人建</w:t>
      </w:r>
    </w:p>
    <w:p>
      <w:pPr>
        <w:pStyle w:val="BodyText"/>
        <w:spacing w:line="321" w:lineRule="auto" w:before="73"/>
        <w:ind w:right="259"/>
      </w:pPr>
      <w:r>
        <w:rPr>
          <w:spacing w:val="-16"/>
        </w:rPr>
        <w:t>立长效联系机制，及时了解其发展需求，实时掌握发展情况。</w:t>
      </w:r>
      <w:r>
        <w:rPr>
          <w:spacing w:val="-2"/>
        </w:rPr>
        <w:t>协助课题导师对课题承担人的课题研究开展指导，确保双导师发挥好传帮带作用。</w:t>
      </w:r>
    </w:p>
    <w:p>
      <w:pPr>
        <w:spacing w:line="496" w:lineRule="exact" w:before="0"/>
        <w:ind w:left="760" w:right="0" w:firstLine="0"/>
        <w:jc w:val="both"/>
        <w:rPr>
          <w:sz w:val="32"/>
        </w:rPr>
      </w:pPr>
      <w:r>
        <w:rPr>
          <w:rFonts w:ascii="Microsoft JhengHei" w:eastAsia="Microsoft JhengHei"/>
          <w:b/>
          <w:spacing w:val="12"/>
          <w:sz w:val="32"/>
        </w:rPr>
        <w:t>第四十六条  </w:t>
      </w:r>
      <w:r>
        <w:rPr>
          <w:spacing w:val="-1"/>
          <w:sz w:val="32"/>
        </w:rPr>
        <w:t>市社科联、市社科规划办对期满合格的课</w:t>
      </w:r>
    </w:p>
    <w:p>
      <w:pPr>
        <w:pStyle w:val="BodyText"/>
        <w:spacing w:line="324" w:lineRule="auto" w:before="71"/>
        <w:ind w:right="417"/>
        <w:jc w:val="both"/>
      </w:pPr>
      <w:r>
        <w:rPr>
          <w:spacing w:val="-2"/>
        </w:rPr>
        <w:t>题承担人纳入青年社科人才库统一管理，进行后期跟踪和成</w:t>
      </w:r>
      <w:r>
        <w:rPr>
          <w:spacing w:val="-9"/>
        </w:rPr>
        <w:t>长扶持。遴选优秀成果纳入《北京社科青年学者文库》，对</w:t>
      </w:r>
      <w:r>
        <w:rPr>
          <w:spacing w:val="-2"/>
        </w:rPr>
        <w:t>高质量专著予以出版资助。</w:t>
      </w:r>
    </w:p>
    <w:p>
      <w:pPr>
        <w:pStyle w:val="BodyText"/>
        <w:spacing w:before="151"/>
        <w:ind w:left="0" w:right="300"/>
        <w:jc w:val="center"/>
        <w:rPr>
          <w:rFonts w:ascii="黑体" w:eastAsia="黑体"/>
        </w:rPr>
      </w:pPr>
      <w:r>
        <w:rPr>
          <w:rFonts w:ascii="黑体" w:eastAsia="黑体"/>
        </w:rPr>
        <w:t>第十章</w:t>
      </w:r>
      <w:r>
        <w:rPr>
          <w:rFonts w:ascii="黑体" w:eastAsia="黑体"/>
          <w:spacing w:val="71"/>
          <w:w w:val="150"/>
        </w:rPr>
        <w:t> </w:t>
      </w:r>
      <w:r>
        <w:rPr>
          <w:rFonts w:ascii="黑体" w:eastAsia="黑体"/>
          <w:spacing w:val="-4"/>
        </w:rPr>
        <w:t>附 则</w:t>
      </w:r>
    </w:p>
    <w:p>
      <w:pPr>
        <w:tabs>
          <w:tab w:pos="2685" w:val="left" w:leader="none"/>
        </w:tabs>
        <w:spacing w:before="235"/>
        <w:ind w:left="120" w:right="0" w:firstLine="640"/>
        <w:jc w:val="left"/>
        <w:rPr>
          <w:sz w:val="32"/>
        </w:rPr>
      </w:pPr>
      <w:r>
        <w:rPr>
          <w:rFonts w:ascii="Microsoft JhengHei" w:eastAsia="Microsoft JhengHei"/>
          <w:b/>
          <w:spacing w:val="-2"/>
          <w:sz w:val="32"/>
        </w:rPr>
        <w:t>第四十七</w:t>
      </w:r>
      <w:r>
        <w:rPr>
          <w:rFonts w:ascii="Microsoft JhengHei" w:eastAsia="Microsoft JhengHei"/>
          <w:b/>
          <w:spacing w:val="-10"/>
          <w:sz w:val="32"/>
        </w:rPr>
        <w:t>条</w:t>
      </w:r>
      <w:r>
        <w:rPr>
          <w:rFonts w:ascii="Microsoft JhengHei" w:eastAsia="Microsoft JhengHei"/>
          <w:b/>
          <w:sz w:val="32"/>
        </w:rPr>
        <w:tab/>
      </w:r>
      <w:r>
        <w:rPr>
          <w:spacing w:val="-4"/>
          <w:sz w:val="32"/>
        </w:rPr>
        <w:t>本办法自发布之日起施行，由市社科联</w:t>
      </w:r>
      <w:r>
        <w:rPr>
          <w:spacing w:val="-10"/>
          <w:sz w:val="32"/>
        </w:rPr>
        <w:t>、</w:t>
      </w:r>
    </w:p>
    <w:p>
      <w:pPr>
        <w:pStyle w:val="BodyText"/>
        <w:spacing w:line="321" w:lineRule="auto" w:before="72"/>
        <w:ind w:right="420"/>
      </w:pPr>
      <w:r>
        <w:rPr>
          <w:spacing w:val="-11"/>
        </w:rPr>
        <w:t>市社科规划办负责解释。</w:t>
      </w:r>
      <w:r>
        <w:rPr>
          <w:spacing w:val="-2"/>
        </w:rPr>
        <w:t>2021</w:t>
      </w:r>
      <w:r>
        <w:rPr>
          <w:spacing w:val="-10"/>
        </w:rPr>
        <w:t> 年立项的青年学术带头人项目</w:t>
      </w:r>
      <w:r>
        <w:rPr>
          <w:spacing w:val="9"/>
        </w:rPr>
        <w:t>参照《北京市社会科学基金青年学术带头人项目实施办法</w:t>
      </w:r>
    </w:p>
    <w:p>
      <w:pPr>
        <w:pStyle w:val="BodyText"/>
        <w:spacing w:before="4"/>
      </w:pPr>
      <w:r>
        <w:rPr>
          <w:spacing w:val="-4"/>
        </w:rPr>
        <w:t>（试行</w:t>
      </w:r>
      <w:r>
        <w:rPr>
          <w:spacing w:val="-159"/>
        </w:rPr>
        <w:t>）</w:t>
      </w:r>
      <w:r>
        <w:rPr>
          <w:spacing w:val="-161"/>
        </w:rPr>
        <w:t>》</w:t>
      </w:r>
      <w:r>
        <w:rPr>
          <w:spacing w:val="-4"/>
        </w:rPr>
        <w:t>（2021</w:t>
      </w:r>
      <w:r>
        <w:rPr>
          <w:spacing w:val="-52"/>
        </w:rPr>
        <w:t> 年 </w:t>
      </w:r>
      <w:r>
        <w:rPr>
          <w:spacing w:val="-4"/>
        </w:rPr>
        <w:t>4</w:t>
      </w:r>
      <w:r>
        <w:rPr>
          <w:spacing w:val="-40"/>
        </w:rPr>
        <w:t> 月</w:t>
      </w:r>
      <w:r>
        <w:rPr>
          <w:spacing w:val="-4"/>
        </w:rPr>
        <w:t>）</w:t>
      </w:r>
      <w:r>
        <w:rPr>
          <w:spacing w:val="-6"/>
        </w:rPr>
        <w:t>执行。</w:t>
      </w:r>
    </w:p>
    <w:sectPr>
      <w:pgSz w:w="11910" w:h="16840"/>
      <w:pgMar w:header="0" w:footer="979" w:top="1520" w:bottom="116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Microsoft JhengHei">
    <w:altName w:val="Microsoft JhengHei"/>
    <w:charset w:val="0"/>
    <w:family w:val="swiss"/>
    <w:pitch w:val="variable"/>
  </w:font>
  <w:font w:name="仿宋">
    <w:altName w:val="仿宋"/>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88512">
              <wp:simplePos x="0" y="0"/>
              <wp:positionH relativeFrom="page">
                <wp:posOffset>3685019</wp:posOffset>
              </wp:positionH>
              <wp:positionV relativeFrom="page">
                <wp:posOffset>9930751</wp:posOffset>
              </wp:positionV>
              <wp:extent cx="20256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2565"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158997pt;margin-top:781.948975pt;width:15.95pt;height:12pt;mso-position-horizontal-relative:page;mso-position-vertical-relative:page;z-index:-15827968" type="#_x0000_t202" id="docshape1" filled="false" stroked="false">
              <v:textbox inset="0,0,0,0">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80" w:hanging="320"/>
        <w:jc w:val="left"/>
      </w:pPr>
      <w:rPr>
        <w:rFonts w:hint="default" w:ascii="宋体" w:hAnsi="宋体" w:eastAsia="宋体" w:cs="宋体"/>
        <w:b w:val="0"/>
        <w:bCs w:val="0"/>
        <w:i w:val="0"/>
        <w:iCs w:val="0"/>
        <w:spacing w:val="-2"/>
        <w:w w:val="99"/>
        <w:sz w:val="30"/>
        <w:szCs w:val="30"/>
        <w:lang w:val="en-US" w:eastAsia="zh-CN" w:bidi="ar-SA"/>
      </w:rPr>
    </w:lvl>
    <w:lvl w:ilvl="1">
      <w:start w:val="0"/>
      <w:numFmt w:val="bullet"/>
      <w:lvlText w:val="•"/>
      <w:lvlJc w:val="left"/>
      <w:pPr>
        <w:ind w:left="1856" w:hanging="320"/>
      </w:pPr>
      <w:rPr>
        <w:rFonts w:hint="default"/>
        <w:lang w:val="en-US" w:eastAsia="zh-CN" w:bidi="ar-SA"/>
      </w:rPr>
    </w:lvl>
    <w:lvl w:ilvl="2">
      <w:start w:val="0"/>
      <w:numFmt w:val="bullet"/>
      <w:lvlText w:val="•"/>
      <w:lvlJc w:val="left"/>
      <w:pPr>
        <w:ind w:left="2633" w:hanging="320"/>
      </w:pPr>
      <w:rPr>
        <w:rFonts w:hint="default"/>
        <w:lang w:val="en-US" w:eastAsia="zh-CN" w:bidi="ar-SA"/>
      </w:rPr>
    </w:lvl>
    <w:lvl w:ilvl="3">
      <w:start w:val="0"/>
      <w:numFmt w:val="bullet"/>
      <w:lvlText w:val="•"/>
      <w:lvlJc w:val="left"/>
      <w:pPr>
        <w:ind w:left="3409" w:hanging="320"/>
      </w:pPr>
      <w:rPr>
        <w:rFonts w:hint="default"/>
        <w:lang w:val="en-US" w:eastAsia="zh-CN" w:bidi="ar-SA"/>
      </w:rPr>
    </w:lvl>
    <w:lvl w:ilvl="4">
      <w:start w:val="0"/>
      <w:numFmt w:val="bullet"/>
      <w:lvlText w:val="•"/>
      <w:lvlJc w:val="left"/>
      <w:pPr>
        <w:ind w:left="4186" w:hanging="320"/>
      </w:pPr>
      <w:rPr>
        <w:rFonts w:hint="default"/>
        <w:lang w:val="en-US" w:eastAsia="zh-CN" w:bidi="ar-SA"/>
      </w:rPr>
    </w:lvl>
    <w:lvl w:ilvl="5">
      <w:start w:val="0"/>
      <w:numFmt w:val="bullet"/>
      <w:lvlText w:val="•"/>
      <w:lvlJc w:val="left"/>
      <w:pPr>
        <w:ind w:left="4963" w:hanging="320"/>
      </w:pPr>
      <w:rPr>
        <w:rFonts w:hint="default"/>
        <w:lang w:val="en-US" w:eastAsia="zh-CN" w:bidi="ar-SA"/>
      </w:rPr>
    </w:lvl>
    <w:lvl w:ilvl="6">
      <w:start w:val="0"/>
      <w:numFmt w:val="bullet"/>
      <w:lvlText w:val="•"/>
      <w:lvlJc w:val="left"/>
      <w:pPr>
        <w:ind w:left="5739" w:hanging="320"/>
      </w:pPr>
      <w:rPr>
        <w:rFonts w:hint="default"/>
        <w:lang w:val="en-US" w:eastAsia="zh-CN" w:bidi="ar-SA"/>
      </w:rPr>
    </w:lvl>
    <w:lvl w:ilvl="7">
      <w:start w:val="0"/>
      <w:numFmt w:val="bullet"/>
      <w:lvlText w:val="•"/>
      <w:lvlJc w:val="left"/>
      <w:pPr>
        <w:ind w:left="6516" w:hanging="320"/>
      </w:pPr>
      <w:rPr>
        <w:rFonts w:hint="default"/>
        <w:lang w:val="en-US" w:eastAsia="zh-CN" w:bidi="ar-SA"/>
      </w:rPr>
    </w:lvl>
    <w:lvl w:ilvl="8">
      <w:start w:val="0"/>
      <w:numFmt w:val="bullet"/>
      <w:lvlText w:val="•"/>
      <w:lvlJc w:val="left"/>
      <w:pPr>
        <w:ind w:left="7292" w:hanging="320"/>
      </w:pPr>
      <w:rPr>
        <w:rFonts w:hint="default"/>
        <w:lang w:val="en-US" w:eastAsia="zh-CN" w:bidi="ar-SA"/>
      </w:rPr>
    </w:lvl>
  </w:abstractNum>
  <w:abstractNum w:abstractNumId="0">
    <w:multiLevelType w:val="hybridMultilevel"/>
    <w:lvl w:ilvl="0">
      <w:start w:val="1"/>
      <w:numFmt w:val="decimal"/>
      <w:lvlText w:val="%1."/>
      <w:lvlJc w:val="left"/>
      <w:pPr>
        <w:ind w:left="120" w:hanging="320"/>
        <w:jc w:val="left"/>
      </w:pPr>
      <w:rPr>
        <w:rFonts w:hint="default" w:ascii="宋体" w:hAnsi="宋体" w:eastAsia="宋体" w:cs="宋体"/>
        <w:b w:val="0"/>
        <w:bCs w:val="0"/>
        <w:i w:val="0"/>
        <w:iCs w:val="0"/>
        <w:spacing w:val="-2"/>
        <w:w w:val="99"/>
        <w:sz w:val="30"/>
        <w:szCs w:val="30"/>
        <w:lang w:val="en-US" w:eastAsia="zh-CN" w:bidi="ar-SA"/>
      </w:rPr>
    </w:lvl>
    <w:lvl w:ilvl="1">
      <w:start w:val="0"/>
      <w:numFmt w:val="bullet"/>
      <w:lvlText w:val="•"/>
      <w:lvlJc w:val="left"/>
      <w:pPr>
        <w:ind w:left="992" w:hanging="320"/>
      </w:pPr>
      <w:rPr>
        <w:rFonts w:hint="default"/>
        <w:lang w:val="en-US" w:eastAsia="zh-CN" w:bidi="ar-SA"/>
      </w:rPr>
    </w:lvl>
    <w:lvl w:ilvl="2">
      <w:start w:val="0"/>
      <w:numFmt w:val="bullet"/>
      <w:lvlText w:val="•"/>
      <w:lvlJc w:val="left"/>
      <w:pPr>
        <w:ind w:left="1865" w:hanging="320"/>
      </w:pPr>
      <w:rPr>
        <w:rFonts w:hint="default"/>
        <w:lang w:val="en-US" w:eastAsia="zh-CN" w:bidi="ar-SA"/>
      </w:rPr>
    </w:lvl>
    <w:lvl w:ilvl="3">
      <w:start w:val="0"/>
      <w:numFmt w:val="bullet"/>
      <w:lvlText w:val="•"/>
      <w:lvlJc w:val="left"/>
      <w:pPr>
        <w:ind w:left="2737" w:hanging="320"/>
      </w:pPr>
      <w:rPr>
        <w:rFonts w:hint="default"/>
        <w:lang w:val="en-US" w:eastAsia="zh-CN" w:bidi="ar-SA"/>
      </w:rPr>
    </w:lvl>
    <w:lvl w:ilvl="4">
      <w:start w:val="0"/>
      <w:numFmt w:val="bullet"/>
      <w:lvlText w:val="•"/>
      <w:lvlJc w:val="left"/>
      <w:pPr>
        <w:ind w:left="3610" w:hanging="320"/>
      </w:pPr>
      <w:rPr>
        <w:rFonts w:hint="default"/>
        <w:lang w:val="en-US" w:eastAsia="zh-CN" w:bidi="ar-SA"/>
      </w:rPr>
    </w:lvl>
    <w:lvl w:ilvl="5">
      <w:start w:val="0"/>
      <w:numFmt w:val="bullet"/>
      <w:lvlText w:val="•"/>
      <w:lvlJc w:val="left"/>
      <w:pPr>
        <w:ind w:left="4483" w:hanging="320"/>
      </w:pPr>
      <w:rPr>
        <w:rFonts w:hint="default"/>
        <w:lang w:val="en-US" w:eastAsia="zh-CN" w:bidi="ar-SA"/>
      </w:rPr>
    </w:lvl>
    <w:lvl w:ilvl="6">
      <w:start w:val="0"/>
      <w:numFmt w:val="bullet"/>
      <w:lvlText w:val="•"/>
      <w:lvlJc w:val="left"/>
      <w:pPr>
        <w:ind w:left="5355" w:hanging="320"/>
      </w:pPr>
      <w:rPr>
        <w:rFonts w:hint="default"/>
        <w:lang w:val="en-US" w:eastAsia="zh-CN" w:bidi="ar-SA"/>
      </w:rPr>
    </w:lvl>
    <w:lvl w:ilvl="7">
      <w:start w:val="0"/>
      <w:numFmt w:val="bullet"/>
      <w:lvlText w:val="•"/>
      <w:lvlJc w:val="left"/>
      <w:pPr>
        <w:ind w:left="6228" w:hanging="320"/>
      </w:pPr>
      <w:rPr>
        <w:rFonts w:hint="default"/>
        <w:lang w:val="en-US" w:eastAsia="zh-CN" w:bidi="ar-SA"/>
      </w:rPr>
    </w:lvl>
    <w:lvl w:ilvl="8">
      <w:start w:val="0"/>
      <w:numFmt w:val="bullet"/>
      <w:lvlText w:val="•"/>
      <w:lvlJc w:val="left"/>
      <w:pPr>
        <w:ind w:left="7100" w:hanging="320"/>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70"/>
      <w:ind w:left="120"/>
    </w:pPr>
    <w:rPr>
      <w:rFonts w:ascii="宋体" w:hAnsi="宋体" w:eastAsia="宋体" w:cs="宋体"/>
      <w:sz w:val="32"/>
      <w:szCs w:val="32"/>
      <w:lang w:val="en-US" w:eastAsia="zh-CN" w:bidi="ar-SA"/>
    </w:rPr>
  </w:style>
  <w:style w:styleId="Title" w:type="paragraph">
    <w:name w:val="Title"/>
    <w:basedOn w:val="Normal"/>
    <w:uiPriority w:val="1"/>
    <w:qFormat/>
    <w:pPr>
      <w:spacing w:before="21"/>
      <w:ind w:left="237"/>
    </w:pPr>
    <w:rPr>
      <w:rFonts w:ascii="宋体" w:hAnsi="宋体" w:eastAsia="宋体" w:cs="宋体"/>
      <w:sz w:val="44"/>
      <w:szCs w:val="44"/>
      <w:lang w:val="en-US" w:eastAsia="zh-CN" w:bidi="ar-SA"/>
    </w:rPr>
  </w:style>
  <w:style w:styleId="ListParagraph" w:type="paragraph">
    <w:name w:val="List Paragraph"/>
    <w:basedOn w:val="Normal"/>
    <w:uiPriority w:val="1"/>
    <w:qFormat/>
    <w:pPr>
      <w:spacing w:before="1"/>
      <w:ind w:left="120" w:right="420" w:firstLine="640"/>
      <w:jc w:val="both"/>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2024-04-23T05:22:08Z</dcterms:created>
  <dcterms:modified xsi:type="dcterms:W3CDTF">2024-04-23T05:22:08Z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LastSaved">
    <vt:filetime>2024-04-23T00:00:00Z</vt:filetime>
  </property>
  <property fmtid="{D5CDD505-2E9C-101B-9397-08002B2CF9AE}" pid="4" name="SourceModified">
    <vt:lpwstr>D:20240423091443+01'14'</vt:lpwstr>
  </property>
</Properties>
</file>