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5"/>
        </w:rPr>
        <w:t>北京市社会科学基金项目资金管理办法</w:t>
      </w:r>
    </w:p>
    <w:p>
      <w:pPr>
        <w:pStyle w:val="BodyText"/>
        <w:spacing w:before="258"/>
        <w:ind w:left="0" w:right="0"/>
        <w:rPr>
          <w:sz w:val="44"/>
        </w:rPr>
      </w:pPr>
    </w:p>
    <w:p>
      <w:pPr>
        <w:pStyle w:val="BodyText"/>
        <w:ind w:left="1" w:right="207"/>
        <w:jc w:val="center"/>
        <w:rPr>
          <w:rFonts w:ascii="黑体" w:eastAsia="黑体"/>
        </w:rPr>
      </w:pPr>
      <w:r>
        <w:rPr>
          <w:rFonts w:ascii="黑体" w:eastAsia="黑体"/>
          <w:spacing w:val="-2"/>
        </w:rPr>
        <w:t>第一章 总</w:t>
      </w:r>
      <w:r>
        <w:rPr>
          <w:rFonts w:ascii="黑体" w:eastAsia="黑体"/>
          <w:spacing w:val="74"/>
          <w:w w:val="150"/>
        </w:rPr>
        <w:t> </w:t>
      </w:r>
      <w:r>
        <w:rPr>
          <w:rFonts w:ascii="黑体" w:eastAsia="黑体"/>
          <w:spacing w:val="-10"/>
        </w:rPr>
        <w:t>则</w:t>
      </w:r>
    </w:p>
    <w:p>
      <w:pPr>
        <w:pStyle w:val="BodyText"/>
        <w:tabs>
          <w:tab w:pos="2038" w:val="left" w:leader="none"/>
        </w:tabs>
        <w:spacing w:line="271" w:lineRule="auto" w:before="234"/>
        <w:ind w:firstLine="638"/>
      </w:pPr>
      <w:r>
        <w:rPr>
          <w:rFonts w:ascii="Microsoft JhengHei" w:eastAsia="Microsoft JhengHei"/>
          <w:b/>
          <w:spacing w:val="-4"/>
        </w:rPr>
        <w:t>第一条</w:t>
      </w:r>
      <w:r>
        <w:rPr>
          <w:rFonts w:ascii="Microsoft JhengHei" w:eastAsia="Microsoft JhengHei"/>
          <w:b/>
        </w:rPr>
        <w:tab/>
      </w:r>
      <w:r>
        <w:rPr>
          <w:spacing w:val="-2"/>
        </w:rPr>
        <w:t>为规范北京市社会科学基金项目(以下简称北京社科基金项目)资金的使用和管理，提高资金使用效益，进一步</w:t>
      </w:r>
      <w:r>
        <w:rPr>
          <w:spacing w:val="-10"/>
        </w:rPr>
        <w:t>推</w:t>
      </w:r>
    </w:p>
    <w:p>
      <w:pPr>
        <w:pStyle w:val="BodyText"/>
        <w:spacing w:line="321" w:lineRule="auto" w:before="90"/>
        <w:ind w:right="154"/>
      </w:pPr>
      <w:r>
        <w:rPr>
          <w:spacing w:val="-10"/>
        </w:rPr>
        <w:t>动首都哲学社会科学繁荣发展，根据《国务院办公厅关于改革完</w:t>
      </w:r>
      <w:r>
        <w:rPr>
          <w:spacing w:val="-4"/>
        </w:rPr>
        <w:t>善中央财政科研经费管理的若干意见》（国办发[2021]32</w:t>
      </w:r>
      <w:r>
        <w:rPr>
          <w:spacing w:val="-35"/>
        </w:rPr>
        <w:t> 号</w:t>
      </w:r>
      <w:r>
        <w:rPr>
          <w:spacing w:val="-4"/>
        </w:rPr>
        <w:t>）</w:t>
      </w:r>
      <w:r>
        <w:rPr>
          <w:spacing w:val="-10"/>
        </w:rPr>
        <w:t>、</w:t>
      </w:r>
    </w:p>
    <w:p>
      <w:pPr>
        <w:pStyle w:val="BodyText"/>
        <w:spacing w:line="324" w:lineRule="auto" w:before="4"/>
        <w:ind w:right="118"/>
      </w:pPr>
      <w:r>
        <w:rPr>
          <w:spacing w:val="-8"/>
        </w:rPr>
        <w:t>《国家社会科学基金项目资金管理办法》</w:t>
      </w:r>
      <w:r>
        <w:rPr>
          <w:spacing w:val="-2"/>
        </w:rPr>
        <w:t>（财教[2021]237</w:t>
      </w:r>
      <w:r>
        <w:rPr>
          <w:spacing w:val="-41"/>
        </w:rPr>
        <w:t> 号</w:t>
      </w:r>
      <w:r>
        <w:rPr>
          <w:spacing w:val="-2"/>
        </w:rPr>
        <w:t>），</w:t>
      </w:r>
      <w:r>
        <w:rPr>
          <w:spacing w:val="-9"/>
        </w:rPr>
        <w:t>依据北京市财政财务管理相关法律法规，结合北京社科基金项目</w:t>
      </w:r>
      <w:r>
        <w:rPr>
          <w:spacing w:val="-2"/>
        </w:rPr>
        <w:t>工作实际，制定本办法。</w:t>
      </w:r>
    </w:p>
    <w:p>
      <w:pPr>
        <w:pStyle w:val="BodyText"/>
        <w:tabs>
          <w:tab w:pos="2019" w:val="left" w:leader="none"/>
        </w:tabs>
        <w:spacing w:line="484" w:lineRule="exact"/>
        <w:ind w:left="735" w:right="0"/>
      </w:pPr>
      <w:r>
        <w:rPr>
          <w:rFonts w:ascii="Microsoft JhengHei" w:eastAsia="Microsoft JhengHei"/>
          <w:b/>
          <w:spacing w:val="-2"/>
        </w:rPr>
        <w:t>第二</w:t>
      </w:r>
      <w:r>
        <w:rPr>
          <w:rFonts w:ascii="Microsoft JhengHei" w:eastAsia="Microsoft JhengHei"/>
          <w:b/>
          <w:spacing w:val="-10"/>
        </w:rPr>
        <w:t>条</w:t>
      </w:r>
      <w:r>
        <w:rPr>
          <w:rFonts w:ascii="Microsoft JhengHei" w:eastAsia="Microsoft JhengHei"/>
          <w:b/>
        </w:rPr>
        <w:tab/>
      </w:r>
      <w:r>
        <w:rPr>
          <w:spacing w:val="-4"/>
        </w:rPr>
        <w:t>北京社科基金项目资金来源于北京市财政拨款</w:t>
      </w:r>
      <w:r>
        <w:rPr>
          <w:spacing w:val="-108"/>
        </w:rPr>
        <w:t>，</w:t>
      </w:r>
      <w:r>
        <w:rPr>
          <w:spacing w:val="-10"/>
        </w:rPr>
        <w:t>用</w:t>
      </w:r>
    </w:p>
    <w:p>
      <w:pPr>
        <w:pStyle w:val="BodyText"/>
        <w:spacing w:line="321" w:lineRule="auto" w:before="73"/>
        <w:ind w:right="313"/>
        <w:jc w:val="both"/>
      </w:pPr>
      <w:r>
        <w:rPr>
          <w:spacing w:val="-13"/>
        </w:rPr>
        <w:t>于资助《北京市社会科学基金项目管理办法》涵盖的各类北京社科基金项目，是促进首都哲学社会科学发展、人才培养和队伍建</w:t>
      </w:r>
      <w:r>
        <w:rPr>
          <w:spacing w:val="-2"/>
        </w:rPr>
        <w:t>设的专项资金。</w:t>
      </w:r>
    </w:p>
    <w:p>
      <w:pPr>
        <w:pStyle w:val="BodyText"/>
        <w:spacing w:line="321" w:lineRule="auto" w:before="7"/>
        <w:ind w:firstLine="626"/>
      </w:pPr>
      <w:r>
        <w:rPr>
          <w:spacing w:val="-9"/>
        </w:rPr>
        <w:t>北京社科基金项目分为重大项目、重点项目、一般项目和青</w:t>
      </w:r>
      <w:r>
        <w:rPr>
          <w:spacing w:val="-6"/>
        </w:rPr>
        <w:t>年项目。重大项目资助金额每项不超过 </w:t>
      </w:r>
      <w:r>
        <w:rPr>
          <w:spacing w:val="-2"/>
        </w:rPr>
        <w:t>30</w:t>
      </w:r>
      <w:r>
        <w:rPr>
          <w:spacing w:val="-11"/>
        </w:rPr>
        <w:t> 万元，重点项目资助</w:t>
      </w:r>
    </w:p>
    <w:p>
      <w:pPr>
        <w:pStyle w:val="BodyText"/>
        <w:spacing w:before="4"/>
        <w:ind w:right="0"/>
      </w:pPr>
      <w:r>
        <w:rPr>
          <w:spacing w:val="-11"/>
        </w:rPr>
        <w:t>金额每项不超过 </w:t>
      </w:r>
      <w:r>
        <w:rPr>
          <w:spacing w:val="-2"/>
        </w:rPr>
        <w:t>15</w:t>
      </w:r>
      <w:r>
        <w:rPr>
          <w:spacing w:val="-11"/>
        </w:rPr>
        <w:t> 万元，一般项目和青年项目资助金额每项不</w:t>
      </w:r>
    </w:p>
    <w:p>
      <w:pPr>
        <w:pStyle w:val="BodyText"/>
        <w:spacing w:before="145"/>
        <w:ind w:right="0"/>
      </w:pPr>
      <w:r>
        <w:rPr>
          <w:spacing w:val="-29"/>
        </w:rPr>
        <w:t>超过 </w:t>
      </w:r>
      <w:r>
        <w:rPr>
          <w:spacing w:val="-4"/>
        </w:rPr>
        <w:t>8</w:t>
      </w:r>
      <w:r>
        <w:rPr>
          <w:spacing w:val="-24"/>
        </w:rPr>
        <w:t> 万元。</w:t>
      </w:r>
    </w:p>
    <w:p>
      <w:pPr>
        <w:pStyle w:val="BodyText"/>
        <w:tabs>
          <w:tab w:pos="2033" w:val="left" w:leader="none"/>
        </w:tabs>
        <w:spacing w:before="79"/>
        <w:ind w:left="751" w:right="0"/>
      </w:pPr>
      <w:r>
        <w:rPr>
          <w:rFonts w:ascii="Microsoft JhengHei" w:eastAsia="Microsoft JhengHei"/>
          <w:b/>
          <w:spacing w:val="-2"/>
        </w:rPr>
        <w:t>第三</w:t>
      </w:r>
      <w:r>
        <w:rPr>
          <w:rFonts w:ascii="Microsoft JhengHei" w:eastAsia="Microsoft JhengHei"/>
          <w:b/>
          <w:spacing w:val="-10"/>
        </w:rPr>
        <w:t>条</w:t>
      </w:r>
      <w:r>
        <w:rPr>
          <w:rFonts w:ascii="Microsoft JhengHei" w:eastAsia="Microsoft JhengHei"/>
          <w:b/>
        </w:rPr>
        <w:tab/>
      </w:r>
      <w:r>
        <w:rPr>
          <w:spacing w:val="-4"/>
        </w:rPr>
        <w:t>北京社科基金项目资金管理和使用原</w:t>
      </w:r>
      <w:r>
        <w:rPr>
          <w:spacing w:val="-10"/>
        </w:rPr>
        <w:t>则</w:t>
      </w:r>
    </w:p>
    <w:p>
      <w:pPr>
        <w:pStyle w:val="BodyText"/>
        <w:spacing w:line="324" w:lineRule="auto" w:before="71"/>
        <w:ind w:right="154" w:firstLine="638"/>
      </w:pPr>
      <w:r>
        <w:rPr>
          <w:spacing w:val="-2"/>
        </w:rPr>
        <w:t>（一</w:t>
      </w:r>
      <w:r>
        <w:rPr>
          <w:spacing w:val="-67"/>
        </w:rPr>
        <w:t>）</w:t>
      </w:r>
      <w:r>
        <w:rPr>
          <w:spacing w:val="-18"/>
        </w:rPr>
        <w:t>以人为本，遵循规律。坚持以出成果、出人才为目标，</w:t>
      </w:r>
      <w:r>
        <w:rPr>
          <w:spacing w:val="-8"/>
        </w:rPr>
        <w:t>更加注重对哲学社会科学研究人才的培养和激励。遵循哲学社会</w:t>
      </w:r>
      <w:r>
        <w:rPr>
          <w:spacing w:val="-13"/>
        </w:rPr>
        <w:t>科学领域研究规律，赋予项目研究人员开展项目研究更大的自主</w:t>
      </w:r>
    </w:p>
    <w:p>
      <w:pPr>
        <w:spacing w:after="0" w:line="324" w:lineRule="auto"/>
        <w:sectPr>
          <w:footerReference w:type="default" r:id="rId5"/>
          <w:type w:val="continuous"/>
          <w:pgSz w:w="11910" w:h="16840"/>
          <w:pgMar w:header="0" w:footer="1002" w:top="1880" w:bottom="1200" w:left="1480" w:right="1160"/>
          <w:pgNumType w:start="1"/>
        </w:sectPr>
      </w:pPr>
    </w:p>
    <w:p>
      <w:pPr>
        <w:pStyle w:val="BodyText"/>
        <w:spacing w:before="96"/>
        <w:ind w:right="0"/>
      </w:pPr>
      <w:r>
        <w:rPr>
          <w:spacing w:val="-8"/>
        </w:rPr>
        <w:t>权。</w:t>
      </w:r>
    </w:p>
    <w:p>
      <w:pPr>
        <w:pStyle w:val="BodyText"/>
        <w:spacing w:before="143"/>
        <w:ind w:left="747" w:right="0"/>
      </w:pPr>
      <w:r>
        <w:rPr>
          <w:spacing w:val="-8"/>
        </w:rPr>
        <w:t>（二）</w:t>
      </w:r>
      <w:r>
        <w:rPr>
          <w:spacing w:val="-9"/>
        </w:rPr>
        <w:t>科学安排，合理使用。严格按照项目研究的目标和任</w:t>
      </w:r>
    </w:p>
    <w:p>
      <w:pPr>
        <w:pStyle w:val="BodyText"/>
        <w:spacing w:line="321" w:lineRule="auto" w:before="146"/>
      </w:pPr>
      <w:r>
        <w:rPr>
          <w:spacing w:val="-14"/>
        </w:rPr>
        <w:t>务，科学合理编制项目预算。加强相关科研资源的统筹协调和有</w:t>
      </w:r>
      <w:r>
        <w:rPr>
          <w:spacing w:val="-2"/>
        </w:rPr>
        <w:t>效整合，提高资金使用效率。</w:t>
      </w:r>
    </w:p>
    <w:p>
      <w:pPr>
        <w:pStyle w:val="BodyText"/>
        <w:spacing w:line="324" w:lineRule="auto" w:before="3"/>
        <w:ind w:right="313" w:firstLine="638"/>
        <w:jc w:val="both"/>
      </w:pPr>
      <w:r>
        <w:rPr>
          <w:spacing w:val="-6"/>
        </w:rPr>
        <w:t>（三）依法规范，安全高效。项目资金应当纳入单位财务统一管理，单独核算。项目资金管理各方要明确权责，确保专款专用。</w:t>
      </w:r>
    </w:p>
    <w:p>
      <w:pPr>
        <w:pStyle w:val="BodyText"/>
        <w:spacing w:line="324" w:lineRule="auto"/>
        <w:ind w:right="196" w:firstLine="638"/>
      </w:pPr>
      <w:r>
        <w:rPr>
          <w:spacing w:val="-2"/>
        </w:rPr>
        <w:t>（四）公正公开，追踪问效。强化资金管理信息公开，加强科研诚信建设和信用管理，建立科研项目预算和绩效管理机制。</w:t>
      </w:r>
    </w:p>
    <w:p>
      <w:pPr>
        <w:pStyle w:val="BodyText"/>
        <w:tabs>
          <w:tab w:pos="2071" w:val="left" w:leader="none"/>
        </w:tabs>
        <w:spacing w:line="486" w:lineRule="exact"/>
        <w:ind w:left="747" w:right="0"/>
      </w:pPr>
      <w:r>
        <w:rPr>
          <w:rFonts w:ascii="Microsoft JhengHei" w:eastAsia="Microsoft JhengHei"/>
          <w:b/>
        </w:rPr>
        <w:t>第四</w:t>
      </w:r>
      <w:r>
        <w:rPr>
          <w:rFonts w:ascii="Microsoft JhengHei" w:eastAsia="Microsoft JhengHei"/>
          <w:b/>
          <w:spacing w:val="-10"/>
        </w:rPr>
        <w:t>条</w:t>
      </w:r>
      <w:r>
        <w:rPr>
          <w:rFonts w:ascii="Microsoft JhengHei" w:eastAsia="Microsoft JhengHei"/>
          <w:b/>
        </w:rPr>
        <w:tab/>
      </w:r>
      <w:r>
        <w:rPr/>
        <w:t>北京市财政局根据本市哲学社会科学发展需要</w:t>
      </w:r>
      <w:r>
        <w:rPr>
          <w:spacing w:val="-10"/>
        </w:rPr>
        <w:t>及</w:t>
      </w:r>
    </w:p>
    <w:p>
      <w:pPr>
        <w:pStyle w:val="BodyText"/>
        <w:spacing w:line="324" w:lineRule="auto" w:before="66"/>
        <w:ind w:right="313"/>
        <w:jc w:val="both"/>
      </w:pPr>
      <w:r>
        <w:rPr>
          <w:spacing w:val="-13"/>
        </w:rPr>
        <w:t>财政预算编制要求，负责审核并批复北京社科基金年度经费预算和决算。会同北京市社会科学界联合会、北京市哲学社会科学规</w:t>
      </w:r>
      <w:r>
        <w:rPr>
          <w:spacing w:val="-6"/>
        </w:rPr>
        <w:t>划办公室（以下简称市社科联、市社科规划办）制定资金管理办</w:t>
      </w:r>
      <w:r>
        <w:rPr>
          <w:spacing w:val="-14"/>
        </w:rPr>
        <w:t>法。对预算执行情况进行监督。对北京社科基金年度经费进行财</w:t>
      </w:r>
      <w:r>
        <w:rPr>
          <w:spacing w:val="-2"/>
        </w:rPr>
        <w:t>政绩效评价。</w:t>
      </w:r>
    </w:p>
    <w:p>
      <w:pPr>
        <w:pStyle w:val="BodyText"/>
        <w:spacing w:line="482" w:lineRule="exact"/>
        <w:ind w:left="747" w:right="0"/>
        <w:jc w:val="both"/>
      </w:pPr>
      <w:r>
        <w:rPr>
          <w:rFonts w:ascii="Microsoft JhengHei" w:eastAsia="Microsoft JhengHei"/>
          <w:b/>
          <w:spacing w:val="20"/>
        </w:rPr>
        <w:t>第五条  </w:t>
      </w:r>
      <w:r>
        <w:rPr>
          <w:spacing w:val="-12"/>
        </w:rPr>
        <w:t>市社科联、市社科规划办根据市委、市政府战略部</w:t>
      </w:r>
    </w:p>
    <w:p>
      <w:pPr>
        <w:pStyle w:val="BodyText"/>
        <w:spacing w:line="324" w:lineRule="auto" w:before="70"/>
        <w:jc w:val="both"/>
      </w:pPr>
      <w:r>
        <w:rPr>
          <w:spacing w:val="-13"/>
        </w:rPr>
        <w:t>署，确定北京社科基金项目资金支持方向，负责北京社科基金项</w:t>
      </w:r>
      <w:r>
        <w:rPr>
          <w:spacing w:val="-12"/>
        </w:rPr>
        <w:t>目立项和管理。根据北京市财政局预算批复，组织项目承担单位</w:t>
      </w:r>
      <w:r>
        <w:rPr>
          <w:spacing w:val="-10"/>
        </w:rPr>
        <w:t>编报项目资金预算及决算，按项目进度拨付资金。指导项目承担</w:t>
      </w:r>
      <w:r>
        <w:rPr>
          <w:spacing w:val="-12"/>
        </w:rPr>
        <w:t>单位管理和使用项目资金，协助有关部门对项目资金进行监督检</w:t>
      </w:r>
      <w:r>
        <w:rPr>
          <w:spacing w:val="-6"/>
        </w:rPr>
        <w:t>查。</w:t>
      </w:r>
    </w:p>
    <w:p>
      <w:pPr>
        <w:pStyle w:val="BodyText"/>
        <w:tabs>
          <w:tab w:pos="1286" w:val="left" w:leader="none"/>
        </w:tabs>
        <w:spacing w:line="482" w:lineRule="exact"/>
        <w:ind w:left="0"/>
        <w:jc w:val="right"/>
      </w:pPr>
      <w:r>
        <w:rPr>
          <w:rFonts w:ascii="Microsoft JhengHei" w:eastAsia="Microsoft JhengHei"/>
          <w:b/>
          <w:spacing w:val="-2"/>
        </w:rPr>
        <w:t>第六</w:t>
      </w:r>
      <w:r>
        <w:rPr>
          <w:rFonts w:ascii="Microsoft JhengHei" w:eastAsia="Microsoft JhengHei"/>
          <w:b/>
          <w:spacing w:val="-10"/>
        </w:rPr>
        <w:t>条</w:t>
      </w:r>
      <w:r>
        <w:rPr>
          <w:rFonts w:ascii="Microsoft JhengHei" w:eastAsia="Microsoft JhengHei"/>
          <w:b/>
        </w:rPr>
        <w:tab/>
      </w:r>
      <w:r>
        <w:rPr>
          <w:spacing w:val="-4"/>
        </w:rPr>
        <w:t>项目承担单位是项目资金管理的责任主体</w:t>
      </w:r>
      <w:r>
        <w:rPr>
          <w:spacing w:val="-123"/>
        </w:rPr>
        <w:t>，</w:t>
      </w:r>
      <w:r>
        <w:rPr>
          <w:spacing w:val="-4"/>
        </w:rPr>
        <w:t>即北</w:t>
      </w:r>
      <w:r>
        <w:rPr>
          <w:spacing w:val="-10"/>
        </w:rPr>
        <w:t>京</w:t>
      </w:r>
    </w:p>
    <w:p>
      <w:pPr>
        <w:pStyle w:val="BodyText"/>
        <w:spacing w:before="70"/>
        <w:ind w:left="0"/>
        <w:jc w:val="right"/>
      </w:pPr>
      <w:r>
        <w:rPr>
          <w:spacing w:val="-8"/>
        </w:rPr>
        <w:t>地区高等学校、党校、科研院（所）</w:t>
      </w:r>
      <w:r>
        <w:rPr>
          <w:spacing w:val="-9"/>
        </w:rPr>
        <w:t>、党政机关研究部门，以及</w:t>
      </w:r>
    </w:p>
    <w:p>
      <w:pPr>
        <w:spacing w:after="0"/>
        <w:jc w:val="right"/>
        <w:sectPr>
          <w:pgSz w:w="11910" w:h="16840"/>
          <w:pgMar w:header="0" w:footer="1002" w:top="1920" w:bottom="1200" w:left="1480" w:right="1160"/>
        </w:sectPr>
      </w:pPr>
    </w:p>
    <w:p>
      <w:pPr>
        <w:pStyle w:val="BodyText"/>
        <w:tabs>
          <w:tab w:pos="2031" w:val="left" w:leader="none"/>
        </w:tabs>
        <w:spacing w:line="285" w:lineRule="auto" w:before="96"/>
        <w:ind w:left="747" w:hanging="639"/>
      </w:pPr>
      <w:r>
        <w:rPr>
          <w:spacing w:val="-2"/>
        </w:rPr>
        <w:t>市社科联所属社会组织等，负责项目资金的全程管理和监督。</w:t>
      </w:r>
      <w:r>
        <w:rPr>
          <w:rFonts w:ascii="Microsoft JhengHei" w:eastAsia="Microsoft JhengHei"/>
          <w:b/>
          <w:spacing w:val="-4"/>
        </w:rPr>
        <w:t>第七条</w:t>
      </w:r>
      <w:r>
        <w:rPr>
          <w:rFonts w:ascii="Microsoft JhengHei" w:eastAsia="Microsoft JhengHei"/>
          <w:b/>
        </w:rPr>
        <w:tab/>
      </w:r>
      <w:r>
        <w:rPr>
          <w:spacing w:val="-2"/>
        </w:rPr>
        <w:t>项目负责人是项目资金使用的直接责任人</w:t>
      </w:r>
      <w:r>
        <w:rPr>
          <w:spacing w:val="-118"/>
        </w:rPr>
        <w:t>，</w:t>
      </w:r>
      <w:r>
        <w:rPr>
          <w:spacing w:val="-2"/>
        </w:rPr>
        <w:t>对资</w:t>
      </w:r>
      <w:r>
        <w:rPr>
          <w:spacing w:val="-2"/>
        </w:rPr>
        <w:t>金</w:t>
      </w:r>
    </w:p>
    <w:p>
      <w:pPr>
        <w:pStyle w:val="BodyText"/>
        <w:spacing w:line="383" w:lineRule="exact"/>
        <w:ind w:right="0"/>
      </w:pPr>
      <w:r>
        <w:rPr>
          <w:spacing w:val="-5"/>
        </w:rPr>
        <w:t>使用的合规性、合理性、真实性和相关性负责。</w:t>
      </w:r>
    </w:p>
    <w:p>
      <w:pPr>
        <w:pStyle w:val="BodyText"/>
        <w:tabs>
          <w:tab w:pos="2031" w:val="left" w:leader="none"/>
        </w:tabs>
        <w:spacing w:line="271" w:lineRule="auto" w:before="79"/>
        <w:ind w:right="313" w:firstLine="638"/>
      </w:pPr>
      <w:r>
        <w:rPr>
          <w:rFonts w:ascii="Microsoft JhengHei" w:eastAsia="Microsoft JhengHei"/>
          <w:b/>
          <w:spacing w:val="-4"/>
        </w:rPr>
        <w:t>第八条</w:t>
      </w:r>
      <w:r>
        <w:rPr>
          <w:rFonts w:ascii="Microsoft JhengHei" w:eastAsia="Microsoft JhengHei"/>
          <w:b/>
        </w:rPr>
        <w:tab/>
      </w:r>
      <w:r>
        <w:rPr>
          <w:spacing w:val="-2"/>
        </w:rPr>
        <w:t>根据资金管理方式不同</w:t>
      </w:r>
      <w:r>
        <w:rPr>
          <w:spacing w:val="-120"/>
        </w:rPr>
        <w:t>，</w:t>
      </w:r>
      <w:r>
        <w:rPr>
          <w:spacing w:val="-2"/>
        </w:rPr>
        <w:t>北京社科基金项目资金</w:t>
      </w:r>
      <w:r>
        <w:rPr>
          <w:spacing w:val="-2"/>
        </w:rPr>
        <w:t>管</w:t>
      </w:r>
      <w:r>
        <w:rPr>
          <w:spacing w:val="-4"/>
        </w:rPr>
        <w:t>理分为预算制和包干制</w:t>
      </w:r>
      <w:r>
        <w:rPr>
          <w:spacing w:val="-115"/>
        </w:rPr>
        <w:t>。</w:t>
      </w:r>
      <w:r>
        <w:rPr>
          <w:spacing w:val="-4"/>
        </w:rPr>
        <w:t>不同批次项目实施的资金管理方式由</w:t>
      </w:r>
      <w:r>
        <w:rPr>
          <w:spacing w:val="-10"/>
        </w:rPr>
        <w:t>市</w:t>
      </w:r>
    </w:p>
    <w:p>
      <w:pPr>
        <w:pStyle w:val="BodyText"/>
        <w:spacing w:before="90"/>
        <w:ind w:right="0"/>
      </w:pPr>
      <w:r>
        <w:rPr>
          <w:spacing w:val="-5"/>
        </w:rPr>
        <w:t>社科联、市社科规划办在项目组织过程中予以明确。</w:t>
      </w:r>
    </w:p>
    <w:p>
      <w:pPr>
        <w:pStyle w:val="BodyText"/>
        <w:spacing w:before="299"/>
        <w:ind w:left="0" w:right="207"/>
        <w:jc w:val="center"/>
        <w:rPr>
          <w:rFonts w:ascii="黑体" w:eastAsia="黑体"/>
        </w:rPr>
      </w:pPr>
      <w:r>
        <w:rPr>
          <w:rFonts w:ascii="黑体" w:eastAsia="黑体"/>
        </w:rPr>
        <w:t>第二章</w:t>
      </w:r>
      <w:r>
        <w:rPr>
          <w:rFonts w:ascii="黑体" w:eastAsia="黑体"/>
          <w:spacing w:val="53"/>
          <w:w w:val="150"/>
        </w:rPr>
        <w:t> </w:t>
      </w:r>
      <w:bookmarkStart w:name="第二章 项目资金支出范围" w:id="1"/>
      <w:bookmarkEnd w:id="1"/>
      <w:r>
        <w:rPr>
          <w:rFonts w:ascii="黑体" w:eastAsia="黑体"/>
          <w:spacing w:val="-2"/>
        </w:rPr>
        <w:t>项目资金支出范围</w:t>
      </w:r>
    </w:p>
    <w:p>
      <w:pPr>
        <w:pStyle w:val="BodyText"/>
        <w:tabs>
          <w:tab w:pos="2071" w:val="left" w:leader="none"/>
        </w:tabs>
        <w:spacing w:before="234"/>
        <w:ind w:right="0" w:firstLine="638"/>
      </w:pPr>
      <w:r>
        <w:rPr>
          <w:rFonts w:ascii="Microsoft JhengHei" w:eastAsia="Microsoft JhengHei"/>
          <w:b/>
        </w:rPr>
        <w:t>第九</w:t>
      </w:r>
      <w:r>
        <w:rPr>
          <w:rFonts w:ascii="Microsoft JhengHei" w:eastAsia="Microsoft JhengHei"/>
          <w:b/>
          <w:spacing w:val="-10"/>
        </w:rPr>
        <w:t>条</w:t>
      </w:r>
      <w:r>
        <w:rPr>
          <w:rFonts w:ascii="Microsoft JhengHei" w:eastAsia="Microsoft JhengHei"/>
          <w:b/>
        </w:rPr>
        <w:tab/>
      </w:r>
      <w:r>
        <w:rPr/>
        <w:t>项目资金支出是指在项目组织实施过程中与科</w:t>
      </w:r>
      <w:r>
        <w:rPr>
          <w:spacing w:val="-10"/>
        </w:rPr>
        <w:t>研</w:t>
      </w:r>
    </w:p>
    <w:p>
      <w:pPr>
        <w:pStyle w:val="BodyText"/>
        <w:spacing w:line="321" w:lineRule="auto" w:before="73"/>
        <w:ind w:right="313"/>
      </w:pPr>
      <w:r>
        <w:rPr>
          <w:spacing w:val="-13"/>
        </w:rPr>
        <w:t>活动相关的、由项目资金支付的各项费用支出。项目资金由直接</w:t>
      </w:r>
      <w:r>
        <w:rPr>
          <w:spacing w:val="-2"/>
        </w:rPr>
        <w:t>费用和间接费用两部分组成。</w:t>
      </w:r>
    </w:p>
    <w:p>
      <w:pPr>
        <w:pStyle w:val="BodyText"/>
        <w:tabs>
          <w:tab w:pos="2071" w:val="left" w:leader="none"/>
        </w:tabs>
        <w:spacing w:line="492" w:lineRule="exact"/>
        <w:ind w:left="747" w:right="0"/>
      </w:pPr>
      <w:r>
        <w:rPr>
          <w:rFonts w:ascii="Microsoft JhengHei" w:eastAsia="Microsoft JhengHei"/>
          <w:b/>
        </w:rPr>
        <w:t>第十</w:t>
      </w:r>
      <w:r>
        <w:rPr>
          <w:rFonts w:ascii="Microsoft JhengHei" w:eastAsia="Microsoft JhengHei"/>
          <w:b/>
          <w:spacing w:val="-10"/>
        </w:rPr>
        <w:t>条</w:t>
      </w:r>
      <w:r>
        <w:rPr>
          <w:rFonts w:ascii="Microsoft JhengHei" w:eastAsia="Microsoft JhengHei"/>
          <w:b/>
        </w:rPr>
        <w:tab/>
      </w:r>
      <w:r>
        <w:rPr/>
        <w:t>直接费用是指在项目研究过程中发生的与之直</w:t>
      </w:r>
      <w:r>
        <w:rPr>
          <w:spacing w:val="-10"/>
        </w:rPr>
        <w:t>接</w:t>
      </w:r>
    </w:p>
    <w:p>
      <w:pPr>
        <w:pStyle w:val="BodyText"/>
        <w:spacing w:before="73"/>
        <w:ind w:right="0"/>
      </w:pPr>
      <w:r>
        <w:rPr>
          <w:spacing w:val="-5"/>
        </w:rPr>
        <w:t>相关的费用，按设备费、业务费、劳务费三大类编制预算。</w:t>
      </w:r>
    </w:p>
    <w:p>
      <w:pPr>
        <w:pStyle w:val="BodyText"/>
        <w:spacing w:line="324" w:lineRule="auto" w:before="143"/>
        <w:ind w:firstLine="638"/>
        <w:jc w:val="both"/>
      </w:pPr>
      <w:r>
        <w:rPr>
          <w:spacing w:val="-2"/>
        </w:rPr>
        <w:t>（一</w:t>
      </w:r>
      <w:r>
        <w:rPr>
          <w:spacing w:val="-115"/>
        </w:rPr>
        <w:t>）</w:t>
      </w:r>
      <w:r>
        <w:rPr>
          <w:spacing w:val="-2"/>
        </w:rPr>
        <w:t>设备费主要用于在项目实施过程中购置设备和软件工</w:t>
      </w:r>
      <w:r>
        <w:rPr>
          <w:spacing w:val="-14"/>
        </w:rPr>
        <w:t>具，对现有设备进行升级改造或租赁使用外单位设备而发生的费</w:t>
      </w:r>
      <w:r>
        <w:rPr>
          <w:spacing w:val="-6"/>
        </w:rPr>
        <w:t>用。</w:t>
      </w:r>
    </w:p>
    <w:p>
      <w:pPr>
        <w:pStyle w:val="BodyText"/>
        <w:spacing w:line="324" w:lineRule="auto"/>
        <w:ind w:right="196" w:firstLine="638"/>
      </w:pPr>
      <w:r>
        <w:rPr>
          <w:spacing w:val="-2"/>
        </w:rPr>
        <w:t>（二</w:t>
      </w:r>
      <w:r>
        <w:rPr>
          <w:spacing w:val="-115"/>
        </w:rPr>
        <w:t>）</w:t>
      </w:r>
      <w:r>
        <w:rPr>
          <w:spacing w:val="-2"/>
        </w:rPr>
        <w:t>业务费是指为完成项目目标购置低值易耗品费用和消耗性费用等相关费用。主要包括：差旅/会议/国际合作与交流、</w:t>
      </w:r>
      <w:r>
        <w:rPr>
          <w:spacing w:val="-8"/>
        </w:rPr>
        <w:t>档案/出版/文献/信息传播/知识产权事务、咨询、其他等方面支</w:t>
      </w:r>
      <w:r>
        <w:rPr>
          <w:spacing w:val="-2"/>
        </w:rPr>
        <w:t>出。具体内容包括：</w:t>
      </w:r>
    </w:p>
    <w:p>
      <w:pPr>
        <w:pStyle w:val="ListParagraph"/>
        <w:numPr>
          <w:ilvl w:val="0"/>
          <w:numId w:val="1"/>
        </w:numPr>
        <w:tabs>
          <w:tab w:pos="1073" w:val="left" w:leader="none"/>
        </w:tabs>
        <w:spacing w:line="324" w:lineRule="auto" w:before="0" w:after="0"/>
        <w:ind w:left="108" w:right="196" w:firstLine="638"/>
        <w:jc w:val="left"/>
        <w:rPr>
          <w:sz w:val="32"/>
        </w:rPr>
      </w:pPr>
      <w:r>
        <w:rPr>
          <w:spacing w:val="6"/>
          <w:w w:val="99"/>
          <w:sz w:val="32"/>
        </w:rPr>
        <w:t>差旅/会议/国际合作与交流支出主要用于在项目实施过</w:t>
      </w:r>
      <w:r>
        <w:rPr>
          <w:w w:val="99"/>
          <w:sz w:val="32"/>
        </w:rPr>
        <w:t>程中组织协调项目等活动而发生的会议费用，开展考察、调研、</w:t>
      </w:r>
      <w:r>
        <w:rPr>
          <w:spacing w:val="-7"/>
          <w:w w:val="99"/>
          <w:sz w:val="32"/>
        </w:rPr>
        <w:t>学术交流等所发生的城市间交通费、住宿费、伙食补助费和市内</w:t>
      </w:r>
    </w:p>
    <w:p>
      <w:pPr>
        <w:spacing w:after="0" w:line="324" w:lineRule="auto"/>
        <w:jc w:val="left"/>
        <w:rPr>
          <w:sz w:val="32"/>
        </w:rPr>
        <w:sectPr>
          <w:pgSz w:w="11910" w:h="16840"/>
          <w:pgMar w:header="0" w:footer="1002" w:top="1920" w:bottom="1200" w:left="1480" w:right="1160"/>
        </w:sectPr>
      </w:pPr>
    </w:p>
    <w:p>
      <w:pPr>
        <w:pStyle w:val="BodyText"/>
        <w:spacing w:line="321" w:lineRule="auto" w:before="96"/>
      </w:pPr>
      <w:r>
        <w:rPr>
          <w:spacing w:val="-6"/>
        </w:rPr>
        <w:t>交通费及研究人员出国（境）、外国专家来华及港澳台专家来内</w:t>
      </w:r>
      <w:r>
        <w:rPr>
          <w:spacing w:val="-2"/>
        </w:rPr>
        <w:t>地开展交流与合作的费用。</w:t>
      </w:r>
    </w:p>
    <w:p>
      <w:pPr>
        <w:pStyle w:val="ListParagraph"/>
        <w:numPr>
          <w:ilvl w:val="0"/>
          <w:numId w:val="1"/>
        </w:numPr>
        <w:tabs>
          <w:tab w:pos="1227" w:val="left" w:leader="none"/>
        </w:tabs>
        <w:spacing w:line="321" w:lineRule="auto" w:before="6" w:after="0"/>
        <w:ind w:left="108" w:right="154" w:firstLine="638"/>
        <w:jc w:val="left"/>
        <w:rPr>
          <w:sz w:val="32"/>
        </w:rPr>
      </w:pPr>
      <w:r>
        <w:rPr>
          <w:spacing w:val="-2"/>
          <w:sz w:val="32"/>
        </w:rPr>
        <w:t>档案/出版/文献/信息传播/知识产权事务支出主要用于</w:t>
      </w:r>
      <w:r>
        <w:rPr>
          <w:spacing w:val="-21"/>
          <w:sz w:val="32"/>
        </w:rPr>
        <w:t>在项目实施过程中，购置图书、收集资料、复印翻拍、检索文献、</w:t>
      </w:r>
      <w:r>
        <w:rPr>
          <w:spacing w:val="-2"/>
          <w:sz w:val="32"/>
        </w:rPr>
        <w:t>采集数据、翻译资料、印刷出版及知识产权事务等费用。</w:t>
      </w:r>
    </w:p>
    <w:p>
      <w:pPr>
        <w:pStyle w:val="ListParagraph"/>
        <w:numPr>
          <w:ilvl w:val="0"/>
          <w:numId w:val="1"/>
        </w:numPr>
        <w:tabs>
          <w:tab w:pos="1227" w:val="left" w:leader="none"/>
        </w:tabs>
        <w:spacing w:line="321" w:lineRule="auto" w:before="8" w:after="0"/>
        <w:ind w:left="108" w:right="313" w:firstLine="638"/>
        <w:jc w:val="both"/>
        <w:rPr>
          <w:sz w:val="32"/>
        </w:rPr>
      </w:pPr>
      <w:r>
        <w:rPr>
          <w:spacing w:val="-2"/>
          <w:sz w:val="32"/>
        </w:rPr>
        <w:t>咨询支出主要用于在项目实施过程中支付给临时聘请的</w:t>
      </w:r>
      <w:r>
        <w:rPr>
          <w:spacing w:val="-13"/>
          <w:sz w:val="32"/>
        </w:rPr>
        <w:t>咨询专家的费用。咨询支出不得支付给参与项目研究及管理相关</w:t>
      </w:r>
      <w:r>
        <w:rPr>
          <w:spacing w:val="-2"/>
          <w:sz w:val="32"/>
        </w:rPr>
        <w:t>的工作人员。</w:t>
      </w:r>
    </w:p>
    <w:p>
      <w:pPr>
        <w:pStyle w:val="ListParagraph"/>
        <w:numPr>
          <w:ilvl w:val="0"/>
          <w:numId w:val="1"/>
        </w:numPr>
        <w:tabs>
          <w:tab w:pos="1227" w:val="left" w:leader="none"/>
        </w:tabs>
        <w:spacing w:line="321" w:lineRule="auto" w:before="7" w:after="0"/>
        <w:ind w:left="108" w:right="313" w:firstLine="638"/>
        <w:jc w:val="both"/>
        <w:rPr>
          <w:sz w:val="32"/>
        </w:rPr>
      </w:pPr>
      <w:r>
        <w:rPr>
          <w:spacing w:val="-2"/>
          <w:sz w:val="32"/>
        </w:rPr>
        <w:t>其他支出主要用于项目研究过程中发生的除上述支出之外的其他业务费支出。</w:t>
      </w:r>
    </w:p>
    <w:p>
      <w:pPr>
        <w:pStyle w:val="BodyText"/>
        <w:spacing w:line="324" w:lineRule="auto" w:before="4"/>
        <w:ind w:firstLine="638"/>
        <w:jc w:val="both"/>
      </w:pPr>
      <w:r>
        <w:rPr>
          <w:spacing w:val="-2"/>
        </w:rPr>
        <w:t>（三</w:t>
      </w:r>
      <w:r>
        <w:rPr>
          <w:spacing w:val="-115"/>
        </w:rPr>
        <w:t>）</w:t>
      </w:r>
      <w:r>
        <w:rPr>
          <w:spacing w:val="-2"/>
        </w:rPr>
        <w:t>劳务费是指在项目实施过程中支付给参与项目研究的</w:t>
      </w:r>
      <w:r>
        <w:rPr>
          <w:spacing w:val="-6"/>
        </w:rPr>
        <w:t>研究生、博士后、访问学者以及项目组聘用的研究人员、科研辅</w:t>
      </w:r>
      <w:r>
        <w:rPr>
          <w:spacing w:val="-10"/>
        </w:rPr>
        <w:t>助人员的劳务性费用。项目组聘用人员的社会保险补助、住房公</w:t>
      </w:r>
      <w:r>
        <w:rPr>
          <w:spacing w:val="-2"/>
        </w:rPr>
        <w:t>积金等可纳入劳务费科目中列支。财政供养人员不得列支劳务</w:t>
      </w:r>
      <w:r>
        <w:rPr>
          <w:spacing w:val="-6"/>
        </w:rPr>
        <w:t>费。</w:t>
      </w:r>
    </w:p>
    <w:p>
      <w:pPr>
        <w:spacing w:line="482" w:lineRule="exact" w:before="0"/>
        <w:ind w:left="747" w:right="0" w:firstLine="0"/>
        <w:jc w:val="both"/>
        <w:rPr>
          <w:sz w:val="32"/>
        </w:rPr>
      </w:pPr>
      <w:r>
        <w:rPr>
          <w:rFonts w:ascii="Microsoft JhengHei" w:eastAsia="Microsoft JhengHei"/>
          <w:b/>
          <w:spacing w:val="30"/>
          <w:sz w:val="32"/>
        </w:rPr>
        <w:t>第十一条   </w:t>
      </w:r>
      <w:r>
        <w:rPr>
          <w:spacing w:val="-1"/>
          <w:sz w:val="32"/>
        </w:rPr>
        <w:t>间接费用是指项目承担单位在组织实施项目过</w:t>
      </w:r>
    </w:p>
    <w:p>
      <w:pPr>
        <w:pStyle w:val="BodyText"/>
        <w:spacing w:line="324" w:lineRule="auto" w:before="70"/>
        <w:ind w:right="309"/>
        <w:jc w:val="both"/>
      </w:pPr>
      <w:r>
        <w:rPr>
          <w:spacing w:val="-8"/>
        </w:rPr>
        <w:t>程中发生的无法在直接费用中列支的相关费用。主要包括绩效支</w:t>
      </w:r>
      <w:r>
        <w:rPr>
          <w:spacing w:val="-13"/>
        </w:rPr>
        <w:t>出及管理费用。绩效支出是项目承担单位为提高科研工作绩效安排的相关支出。管理费用主要包括项目承担单位为项目研究提供</w:t>
      </w:r>
      <w:r>
        <w:rPr>
          <w:spacing w:val="-6"/>
        </w:rPr>
        <w:t>的现有仪器设备及房屋，水、电、气、暖等消耗，以及有关管理</w:t>
      </w:r>
      <w:r>
        <w:rPr>
          <w:spacing w:val="-2"/>
        </w:rPr>
        <w:t>费用的补助支出等。</w:t>
      </w:r>
    </w:p>
    <w:p>
      <w:pPr>
        <w:pStyle w:val="BodyText"/>
        <w:spacing w:before="149"/>
        <w:ind w:left="0" w:right="207"/>
        <w:jc w:val="center"/>
        <w:rPr>
          <w:rFonts w:ascii="黑体" w:eastAsia="黑体"/>
        </w:rPr>
      </w:pPr>
      <w:r>
        <w:rPr>
          <w:rFonts w:ascii="黑体" w:eastAsia="黑体"/>
          <w:spacing w:val="-5"/>
        </w:rPr>
        <w:t>第三章 预算制项目预算编制与资金管理</w:t>
      </w:r>
    </w:p>
    <w:p>
      <w:pPr>
        <w:spacing w:after="0"/>
        <w:jc w:val="center"/>
        <w:rPr>
          <w:rFonts w:ascii="黑体" w:eastAsia="黑体"/>
        </w:rPr>
        <w:sectPr>
          <w:pgSz w:w="11910" w:h="16840"/>
          <w:pgMar w:header="0" w:footer="1002" w:top="1920" w:bottom="1200" w:left="1480" w:right="1160"/>
        </w:sectPr>
      </w:pPr>
    </w:p>
    <w:p>
      <w:pPr>
        <w:pStyle w:val="BodyText"/>
        <w:spacing w:line="271" w:lineRule="auto" w:before="31"/>
        <w:ind w:firstLine="638"/>
      </w:pPr>
      <w:r>
        <w:rPr>
          <w:rFonts w:ascii="Microsoft JhengHei" w:eastAsia="Microsoft JhengHei"/>
          <w:b/>
          <w:spacing w:val="8"/>
        </w:rPr>
        <w:t>第十二条 </w:t>
      </w:r>
      <w:r>
        <w:rPr/>
        <w:t>项目负责人应当根据项目研究需要和资金支出范</w:t>
      </w:r>
      <w:r>
        <w:rPr>
          <w:spacing w:val="-9"/>
        </w:rPr>
        <w:t>围，科学合理、实事求是地编制项目预算，直接费用只提供基本</w:t>
      </w:r>
    </w:p>
    <w:p>
      <w:pPr>
        <w:pStyle w:val="BodyText"/>
        <w:spacing w:before="90"/>
        <w:ind w:right="0"/>
      </w:pPr>
      <w:r>
        <w:rPr>
          <w:spacing w:val="-5"/>
        </w:rPr>
        <w:t>测算说明，不需要提供明细。</w:t>
      </w:r>
    </w:p>
    <w:p>
      <w:pPr>
        <w:pStyle w:val="BodyText"/>
        <w:spacing w:line="321" w:lineRule="auto" w:before="144"/>
        <w:ind w:firstLine="638"/>
      </w:pPr>
      <w:r>
        <w:rPr>
          <w:spacing w:val="-5"/>
        </w:rPr>
        <w:t>项目负责人应当在收到立项通知之日起 </w:t>
      </w:r>
      <w:r>
        <w:rPr/>
        <w:t>30</w:t>
      </w:r>
      <w:r>
        <w:rPr>
          <w:spacing w:val="-11"/>
        </w:rPr>
        <w:t> 日内完成预算编</w:t>
      </w:r>
      <w:r>
        <w:rPr>
          <w:spacing w:val="-2"/>
        </w:rPr>
        <w:t>制。无特殊情况，逾期不提交的，视为自动放弃资助。</w:t>
      </w:r>
    </w:p>
    <w:p>
      <w:pPr>
        <w:pStyle w:val="BodyText"/>
        <w:spacing w:line="321" w:lineRule="auto" w:before="5"/>
        <w:ind w:right="313" w:firstLine="638"/>
      </w:pPr>
      <w:r>
        <w:rPr>
          <w:spacing w:val="-2"/>
        </w:rPr>
        <w:t>编制项目预算应当接受本单位财务管理部门和科研管理部门的指导和审核。</w:t>
      </w:r>
    </w:p>
    <w:p>
      <w:pPr>
        <w:pStyle w:val="BodyText"/>
        <w:tabs>
          <w:tab w:pos="2352" w:val="left" w:leader="none"/>
        </w:tabs>
        <w:spacing w:line="492" w:lineRule="exact"/>
        <w:ind w:left="747" w:right="0"/>
      </w:pPr>
      <w:r>
        <w:rPr>
          <w:rFonts w:ascii="Microsoft JhengHei" w:eastAsia="Microsoft JhengHei"/>
          <w:b/>
          <w:spacing w:val="-2"/>
        </w:rPr>
        <w:t>第十三</w:t>
      </w:r>
      <w:r>
        <w:rPr>
          <w:rFonts w:ascii="Microsoft JhengHei" w:eastAsia="Microsoft JhengHei"/>
          <w:b/>
          <w:spacing w:val="-10"/>
        </w:rPr>
        <w:t>条</w:t>
      </w:r>
      <w:r>
        <w:rPr>
          <w:rFonts w:ascii="Microsoft JhengHei" w:eastAsia="Microsoft JhengHei"/>
          <w:b/>
        </w:rPr>
        <w:tab/>
      </w:r>
      <w:r>
        <w:rPr>
          <w:spacing w:val="-4"/>
        </w:rPr>
        <w:t>项目负责人需按照要求编制预算、使用资金</w:t>
      </w:r>
      <w:r>
        <w:rPr>
          <w:spacing w:val="-10"/>
        </w:rPr>
        <w:t>：</w:t>
      </w:r>
    </w:p>
    <w:p>
      <w:pPr>
        <w:pStyle w:val="BodyText"/>
        <w:spacing w:before="73"/>
        <w:ind w:left="747" w:right="0"/>
      </w:pPr>
      <w:r>
        <w:rPr>
          <w:spacing w:val="-4"/>
        </w:rPr>
        <w:t>（一）</w:t>
      </w:r>
      <w:r>
        <w:rPr>
          <w:spacing w:val="-6"/>
        </w:rPr>
        <w:t>设备费：</w:t>
      </w:r>
    </w:p>
    <w:p>
      <w:pPr>
        <w:pStyle w:val="BodyText"/>
        <w:spacing w:line="324" w:lineRule="auto" w:before="143"/>
        <w:ind w:firstLine="638"/>
        <w:jc w:val="both"/>
        <w:rPr>
          <w:rFonts w:ascii="仿宋" w:eastAsia="仿宋"/>
        </w:rPr>
      </w:pPr>
      <w:r>
        <w:rPr>
          <w:spacing w:val="-13"/>
        </w:rPr>
        <w:t>严格控制设备购置，鼓励共享、租赁以及对现有设备进行升</w:t>
      </w:r>
      <w:r>
        <w:rPr>
          <w:spacing w:val="-6"/>
        </w:rPr>
        <w:t>级。</w:t>
      </w:r>
      <w:r>
        <w:rPr>
          <w:rFonts w:ascii="仿宋" w:eastAsia="仿宋"/>
          <w:spacing w:val="-6"/>
        </w:rPr>
        <w:t>不得购置计算机、打印机、复印机等可共享的通用设备，需</w:t>
      </w:r>
      <w:r>
        <w:rPr>
          <w:rFonts w:ascii="仿宋" w:eastAsia="仿宋"/>
          <w:spacing w:val="-12"/>
        </w:rPr>
        <w:t>购置专用设备的，项目负责人应当在项目预算中列支，由项目承</w:t>
      </w:r>
      <w:r>
        <w:rPr>
          <w:rFonts w:ascii="仿宋" w:eastAsia="仿宋"/>
          <w:spacing w:val="-2"/>
        </w:rPr>
        <w:t>担单位审批并按照国有资产相关规定进行管理。</w:t>
      </w:r>
    </w:p>
    <w:p>
      <w:pPr>
        <w:pStyle w:val="BodyText"/>
        <w:spacing w:line="409" w:lineRule="exact"/>
        <w:ind w:left="747" w:right="0"/>
      </w:pPr>
      <w:r>
        <w:rPr>
          <w:spacing w:val="-4"/>
        </w:rPr>
        <w:t>（二）</w:t>
      </w:r>
      <w:r>
        <w:rPr>
          <w:spacing w:val="-6"/>
        </w:rPr>
        <w:t>业务费：</w:t>
      </w:r>
    </w:p>
    <w:p>
      <w:pPr>
        <w:pStyle w:val="BodyText"/>
        <w:spacing w:line="321" w:lineRule="auto" w:before="146"/>
        <w:ind w:firstLine="638"/>
        <w:jc w:val="both"/>
      </w:pPr>
      <w:r>
        <w:rPr>
          <w:spacing w:val="-10"/>
        </w:rPr>
        <w:t>项目负责人为完成项目的任务目标，列支的差旅/会议/国际</w:t>
      </w:r>
      <w:r>
        <w:rPr>
          <w:spacing w:val="-6"/>
        </w:rPr>
        <w:t>合作交流支出不纳入“三公”经费、机关运行经费和行政一般性</w:t>
      </w:r>
      <w:r>
        <w:rPr>
          <w:spacing w:val="-2"/>
        </w:rPr>
        <w:t>支出统计范围，不受“零增长”限制。</w:t>
      </w:r>
    </w:p>
    <w:p>
      <w:pPr>
        <w:pStyle w:val="BodyText"/>
        <w:spacing w:line="324" w:lineRule="auto" w:before="8"/>
        <w:ind w:right="309" w:firstLine="638"/>
        <w:jc w:val="both"/>
      </w:pPr>
      <w:r>
        <w:rPr>
          <w:spacing w:val="-9"/>
        </w:rPr>
        <w:t>项目承担单位应根据科研活动实际需要，按照实事求是、精</w:t>
      </w:r>
      <w:r>
        <w:rPr>
          <w:spacing w:val="-6"/>
        </w:rPr>
        <w:t>简高效、厉行节约的原则，制定出台科研类差旅、会议支出和咨</w:t>
      </w:r>
      <w:r>
        <w:rPr>
          <w:spacing w:val="-11"/>
        </w:rPr>
        <w:t>询支出管理办法。合理确定科研人员乘坐交通工具等级、住宿费</w:t>
      </w:r>
      <w:r>
        <w:rPr>
          <w:spacing w:val="-6"/>
        </w:rPr>
        <w:t>标准，会议次数、天数、人数和会议支出范围、标准，专家咨询</w:t>
      </w:r>
      <w:r>
        <w:rPr>
          <w:spacing w:val="-2"/>
        </w:rPr>
        <w:t>支出标准。</w:t>
      </w:r>
    </w:p>
    <w:p>
      <w:pPr>
        <w:pStyle w:val="BodyText"/>
        <w:spacing w:line="406" w:lineRule="exact"/>
        <w:ind w:left="814" w:right="0"/>
      </w:pPr>
      <w:r>
        <w:rPr>
          <w:spacing w:val="-4"/>
        </w:rPr>
        <w:t>（三）</w:t>
      </w:r>
      <w:r>
        <w:rPr>
          <w:spacing w:val="-6"/>
        </w:rPr>
        <w:t>劳务费：</w:t>
      </w:r>
    </w:p>
    <w:p>
      <w:pPr>
        <w:spacing w:after="0" w:line="406" w:lineRule="exact"/>
        <w:sectPr>
          <w:pgSz w:w="11910" w:h="16840"/>
          <w:pgMar w:header="0" w:footer="1002" w:top="1920" w:bottom="1200" w:left="1480" w:right="1160"/>
        </w:sectPr>
      </w:pPr>
    </w:p>
    <w:p>
      <w:pPr>
        <w:pStyle w:val="BodyText"/>
        <w:spacing w:line="324" w:lineRule="auto" w:before="96"/>
        <w:ind w:right="196" w:firstLine="705"/>
      </w:pPr>
      <w:r>
        <w:rPr>
          <w:spacing w:val="-2"/>
        </w:rPr>
        <w:t>项目聘用人员的劳务费支出标准，参照北京市社会科学研究人员平均工资水平。项目承担单位应根据科研活动实际需要，建立劳务费分配制度。</w:t>
      </w:r>
    </w:p>
    <w:p>
      <w:pPr>
        <w:pStyle w:val="BodyText"/>
        <w:spacing w:line="411" w:lineRule="exact"/>
        <w:ind w:left="747" w:right="0"/>
      </w:pPr>
      <w:r>
        <w:rPr>
          <w:spacing w:val="-4"/>
        </w:rPr>
        <w:t>（四）</w:t>
      </w:r>
      <w:r>
        <w:rPr>
          <w:spacing w:val="-6"/>
        </w:rPr>
        <w:t>间接费用：</w:t>
      </w:r>
    </w:p>
    <w:p>
      <w:pPr>
        <w:pStyle w:val="BodyText"/>
        <w:spacing w:line="324" w:lineRule="auto" w:before="143"/>
        <w:ind w:right="313" w:firstLine="640"/>
        <w:jc w:val="both"/>
      </w:pPr>
      <w:r>
        <w:rPr>
          <w:spacing w:val="-10"/>
        </w:rPr>
        <w:t>项目资金的间接费用实行总额控制，基础比例按照不超过项</w:t>
      </w:r>
      <w:r>
        <w:rPr>
          <w:spacing w:val="-7"/>
        </w:rPr>
        <w:t>目资助总额的 </w:t>
      </w:r>
      <w:r>
        <w:rPr/>
        <w:t>40%核定。</w:t>
      </w:r>
    </w:p>
    <w:p>
      <w:pPr>
        <w:pStyle w:val="BodyText"/>
        <w:spacing w:line="324" w:lineRule="auto"/>
        <w:ind w:firstLine="640"/>
        <w:jc w:val="both"/>
      </w:pPr>
      <w:r>
        <w:rPr>
          <w:spacing w:val="-12"/>
        </w:rPr>
        <w:t>项目研究通过审核验收后，可依据结项等级调整间接费用比</w:t>
      </w:r>
      <w:r>
        <w:rPr>
          <w:spacing w:val="-6"/>
        </w:rPr>
        <w:t>例，具体如下：结项等级为“优秀”的，间接费用比例可以调整</w:t>
      </w:r>
      <w:r>
        <w:rPr>
          <w:spacing w:val="-7"/>
        </w:rPr>
        <w:t>为不超过项目资助总额的 </w:t>
      </w:r>
      <w:r>
        <w:rPr>
          <w:spacing w:val="-4"/>
        </w:rPr>
        <w:t>60%；结项等级为“良好”的，间接费</w:t>
      </w:r>
      <w:r>
        <w:rPr>
          <w:spacing w:val="-6"/>
        </w:rPr>
        <w:t>用比例可以调整为不超过项目资助总额的 </w:t>
      </w:r>
      <w:r>
        <w:rPr>
          <w:spacing w:val="-4"/>
        </w:rPr>
        <w:t>50%；结项等级为“合</w:t>
      </w:r>
      <w:r>
        <w:rPr>
          <w:spacing w:val="-6"/>
        </w:rPr>
        <w:t>格”，或以“免于鉴定”方式结项未分等级的，间接费用不再提高。</w:t>
      </w:r>
    </w:p>
    <w:p>
      <w:pPr>
        <w:pStyle w:val="BodyText"/>
        <w:spacing w:line="324" w:lineRule="auto"/>
        <w:ind w:firstLine="638"/>
        <w:jc w:val="both"/>
      </w:pPr>
      <w:r>
        <w:rPr>
          <w:spacing w:val="-7"/>
        </w:rPr>
        <w:t>项目承担单位应当建立健全间接费用的内部管理办法，公开</w:t>
      </w:r>
      <w:r>
        <w:rPr>
          <w:spacing w:val="-14"/>
        </w:rPr>
        <w:t>透明、合理规范使用间接费用。绩效支出安排应当与科研人员在</w:t>
      </w:r>
      <w:r>
        <w:rPr>
          <w:spacing w:val="-8"/>
        </w:rPr>
        <w:t>项目研究中的实际贡献和成果结项等级挂钩，充分体现科研人员</w:t>
      </w:r>
      <w:r>
        <w:rPr>
          <w:spacing w:val="-13"/>
        </w:rPr>
        <w:t>价值和科研成果导向。绩效支出的使用范围和标准应在单位内部</w:t>
      </w:r>
      <w:r>
        <w:rPr>
          <w:spacing w:val="-14"/>
        </w:rPr>
        <w:t>公示。项目承担单位要处理好合理分摊间接成本和对科研人员激</w:t>
      </w:r>
      <w:r>
        <w:rPr>
          <w:spacing w:val="-6"/>
        </w:rPr>
        <w:t>励的关系，不得截留、挪用、挤占，可将间接费用全部用于绩效</w:t>
      </w:r>
      <w:r>
        <w:rPr>
          <w:spacing w:val="-4"/>
        </w:rPr>
        <w:t>支出。</w:t>
      </w:r>
    </w:p>
    <w:p>
      <w:pPr>
        <w:pStyle w:val="BodyText"/>
        <w:spacing w:line="324" w:lineRule="auto"/>
        <w:ind w:firstLine="638"/>
      </w:pPr>
      <w:r>
        <w:rPr>
          <w:spacing w:val="-2"/>
        </w:rPr>
        <w:t>实行工资总额管理的项目承担单位从科研经费中列支的编</w:t>
      </w:r>
      <w:r>
        <w:rPr>
          <w:spacing w:val="-9"/>
        </w:rPr>
        <w:t>制内有工资性收入科研人员的绩效支出，一次性计入当年本单位</w:t>
      </w:r>
      <w:r>
        <w:rPr>
          <w:spacing w:val="-11"/>
        </w:rPr>
        <w:t>绩效工资总量，但不受核定的本单位绩效工资总量限制，不作为</w:t>
      </w:r>
      <w:r>
        <w:rPr>
          <w:spacing w:val="-2"/>
        </w:rPr>
        <w:t>核定下一年度绩效工资总量的基数，不作为社会保险费缴纳基</w:t>
      </w:r>
    </w:p>
    <w:p>
      <w:pPr>
        <w:spacing w:after="0" w:line="324" w:lineRule="auto"/>
        <w:sectPr>
          <w:pgSz w:w="11910" w:h="16840"/>
          <w:pgMar w:header="0" w:footer="1002" w:top="1920" w:bottom="1200" w:left="1480" w:right="1160"/>
        </w:sectPr>
      </w:pPr>
    </w:p>
    <w:p>
      <w:pPr>
        <w:pStyle w:val="BodyText"/>
        <w:spacing w:line="321" w:lineRule="auto" w:before="96"/>
      </w:pPr>
      <w:r>
        <w:rPr>
          <w:spacing w:val="-14"/>
        </w:rPr>
        <w:t>数。项目承担单位不得在核定的间接费用以外再以任何名义在项</w:t>
      </w:r>
      <w:r>
        <w:rPr>
          <w:spacing w:val="-2"/>
        </w:rPr>
        <w:t>目资金中重复提取、列支单位管理费用和绩效支出。</w:t>
      </w:r>
    </w:p>
    <w:p>
      <w:pPr>
        <w:pStyle w:val="BodyText"/>
        <w:tabs>
          <w:tab w:pos="2352" w:val="left" w:leader="none"/>
        </w:tabs>
        <w:spacing w:line="495" w:lineRule="exact"/>
        <w:ind w:left="747" w:right="0"/>
      </w:pPr>
      <w:r>
        <w:rPr>
          <w:rFonts w:ascii="Microsoft JhengHei" w:eastAsia="Microsoft JhengHei"/>
          <w:b/>
          <w:spacing w:val="-2"/>
        </w:rPr>
        <w:t>第十四</w:t>
      </w:r>
      <w:r>
        <w:rPr>
          <w:rFonts w:ascii="Microsoft JhengHei" w:eastAsia="Microsoft JhengHei"/>
          <w:b/>
          <w:spacing w:val="-10"/>
        </w:rPr>
        <w:t>条</w:t>
      </w:r>
      <w:r>
        <w:rPr>
          <w:rFonts w:ascii="Microsoft JhengHei" w:eastAsia="Microsoft JhengHei"/>
          <w:b/>
        </w:rPr>
        <w:tab/>
      </w:r>
      <w:r>
        <w:rPr>
          <w:spacing w:val="-4"/>
        </w:rPr>
        <w:t>项目预算经项目承担单位审核通过后</w:t>
      </w:r>
      <w:r>
        <w:rPr>
          <w:spacing w:val="-120"/>
        </w:rPr>
        <w:t>，</w:t>
      </w:r>
      <w:r>
        <w:rPr>
          <w:spacing w:val="-4"/>
        </w:rPr>
        <w:t>提交市</w:t>
      </w:r>
      <w:r>
        <w:rPr>
          <w:spacing w:val="-10"/>
        </w:rPr>
        <w:t>社</w:t>
      </w:r>
    </w:p>
    <w:p>
      <w:pPr>
        <w:pStyle w:val="BodyText"/>
        <w:spacing w:line="321" w:lineRule="auto" w:before="70"/>
      </w:pPr>
      <w:r>
        <w:rPr>
          <w:spacing w:val="-6"/>
        </w:rPr>
        <w:t>科联、市社科规划办审核。未通过审核的，应当按要求调整后重</w:t>
      </w:r>
      <w:r>
        <w:rPr>
          <w:spacing w:val="-4"/>
        </w:rPr>
        <w:t>新上报。</w:t>
      </w:r>
    </w:p>
    <w:p>
      <w:pPr>
        <w:pStyle w:val="BodyText"/>
        <w:tabs>
          <w:tab w:pos="2352" w:val="left" w:leader="none"/>
        </w:tabs>
        <w:spacing w:line="495" w:lineRule="exact"/>
        <w:ind w:left="747" w:right="0"/>
      </w:pPr>
      <w:r>
        <w:rPr>
          <w:rFonts w:ascii="Microsoft JhengHei" w:eastAsia="Microsoft JhengHei"/>
          <w:b/>
          <w:spacing w:val="-2"/>
        </w:rPr>
        <w:t>第十五</w:t>
      </w:r>
      <w:r>
        <w:rPr>
          <w:rFonts w:ascii="Microsoft JhengHei" w:eastAsia="Microsoft JhengHei"/>
          <w:b/>
          <w:spacing w:val="-10"/>
        </w:rPr>
        <w:t>条</w:t>
      </w:r>
      <w:r>
        <w:rPr>
          <w:rFonts w:ascii="Microsoft JhengHei" w:eastAsia="Microsoft JhengHei"/>
          <w:b/>
        </w:rPr>
        <w:tab/>
      </w:r>
      <w:r>
        <w:rPr>
          <w:spacing w:val="-4"/>
        </w:rPr>
        <w:t>市社科联、市社科规划办根据不同类别项目</w:t>
      </w:r>
      <w:r>
        <w:rPr>
          <w:spacing w:val="-10"/>
        </w:rPr>
        <w:t>特</w:t>
      </w:r>
    </w:p>
    <w:p>
      <w:pPr>
        <w:pStyle w:val="BodyText"/>
        <w:spacing w:line="321" w:lineRule="auto" w:before="71"/>
        <w:ind w:right="154"/>
      </w:pPr>
      <w:r>
        <w:rPr>
          <w:spacing w:val="-21"/>
        </w:rPr>
        <w:t>点、研究内容、资金需求等确定资助额度，在立项和预算获批后，</w:t>
      </w:r>
      <w:r>
        <w:rPr>
          <w:spacing w:val="-2"/>
        </w:rPr>
        <w:t>将资金拨付至项目承担单位，项目资金原则上分次拨付。</w:t>
      </w:r>
    </w:p>
    <w:p>
      <w:pPr>
        <w:pStyle w:val="BodyText"/>
        <w:tabs>
          <w:tab w:pos="2352" w:val="left" w:leader="none"/>
        </w:tabs>
        <w:spacing w:line="495" w:lineRule="exact"/>
        <w:ind w:left="747" w:right="0"/>
      </w:pPr>
      <w:r>
        <w:rPr>
          <w:rFonts w:ascii="Microsoft JhengHei" w:eastAsia="Microsoft JhengHei"/>
          <w:b/>
          <w:spacing w:val="-2"/>
        </w:rPr>
        <w:t>第十六</w:t>
      </w:r>
      <w:r>
        <w:rPr>
          <w:rFonts w:ascii="Microsoft JhengHei" w:eastAsia="Microsoft JhengHei"/>
          <w:b/>
          <w:spacing w:val="-10"/>
        </w:rPr>
        <w:t>条</w:t>
      </w:r>
      <w:r>
        <w:rPr>
          <w:rFonts w:ascii="Microsoft JhengHei" w:eastAsia="Microsoft JhengHei"/>
          <w:b/>
        </w:rPr>
        <w:tab/>
      </w:r>
      <w:r>
        <w:rPr>
          <w:spacing w:val="-4"/>
        </w:rPr>
        <w:t>跨单位合作的项目</w:t>
      </w:r>
      <w:r>
        <w:rPr>
          <w:spacing w:val="-60"/>
        </w:rPr>
        <w:t>，</w:t>
      </w:r>
      <w:r>
        <w:rPr>
          <w:spacing w:val="-4"/>
        </w:rPr>
        <w:t>确需外拨资金的</w:t>
      </w:r>
      <w:r>
        <w:rPr>
          <w:spacing w:val="-60"/>
        </w:rPr>
        <w:t>，</w:t>
      </w:r>
      <w:r>
        <w:rPr>
          <w:spacing w:val="-4"/>
        </w:rPr>
        <w:t>应当在</w:t>
      </w:r>
      <w:r>
        <w:rPr>
          <w:spacing w:val="-10"/>
        </w:rPr>
        <w:t>项</w:t>
      </w:r>
    </w:p>
    <w:p>
      <w:pPr>
        <w:pStyle w:val="BodyText"/>
        <w:spacing w:line="321" w:lineRule="auto" w:before="70"/>
        <w:ind w:right="313"/>
      </w:pPr>
      <w:r>
        <w:rPr>
          <w:spacing w:val="-11"/>
        </w:rPr>
        <w:t>目预算中单独列示。外拨资金中的直接费用需附支出预算，间接</w:t>
      </w:r>
      <w:r>
        <w:rPr>
          <w:spacing w:val="-2"/>
        </w:rPr>
        <w:t>费用根据项目承担单位与协作单位协商确定的金额拨付。</w:t>
      </w:r>
    </w:p>
    <w:p>
      <w:pPr>
        <w:pStyle w:val="BodyText"/>
        <w:spacing w:line="321" w:lineRule="auto" w:before="6"/>
        <w:ind w:right="313" w:firstLine="640"/>
        <w:jc w:val="both"/>
      </w:pPr>
      <w:r>
        <w:rPr>
          <w:spacing w:val="-10"/>
        </w:rPr>
        <w:t>项目资金下达到项目承担单位后，项目承担单位应当及时按</w:t>
      </w:r>
      <w:r>
        <w:rPr>
          <w:spacing w:val="-7"/>
        </w:rPr>
        <w:t>照合作研究协议和项目下达时批准的外拨资金额度，转拨给协作</w:t>
      </w:r>
      <w:r>
        <w:rPr>
          <w:spacing w:val="-2"/>
        </w:rPr>
        <w:t>单位，并加强对外拨资金的监督管理。</w:t>
      </w:r>
    </w:p>
    <w:p>
      <w:pPr>
        <w:spacing w:line="496" w:lineRule="exact" w:before="0"/>
        <w:ind w:left="747" w:right="0" w:firstLine="0"/>
        <w:jc w:val="both"/>
        <w:rPr>
          <w:sz w:val="32"/>
        </w:rPr>
      </w:pPr>
      <w:r>
        <w:rPr>
          <w:rFonts w:ascii="Microsoft JhengHei" w:eastAsia="Microsoft JhengHei"/>
          <w:b/>
          <w:spacing w:val="17"/>
          <w:sz w:val="32"/>
        </w:rPr>
        <w:t>第十七条  </w:t>
      </w:r>
      <w:r>
        <w:rPr>
          <w:spacing w:val="-1"/>
          <w:sz w:val="32"/>
        </w:rPr>
        <w:t>项目承担单位应当具备健全的财务和内控制度，</w:t>
      </w:r>
    </w:p>
    <w:p>
      <w:pPr>
        <w:pStyle w:val="BodyText"/>
        <w:spacing w:line="321" w:lineRule="auto" w:before="70"/>
      </w:pPr>
      <w:r>
        <w:rPr>
          <w:spacing w:val="-13"/>
        </w:rPr>
        <w:t>以及项目财务管理制度，由专职的财务人员负责项目资金的财务</w:t>
      </w:r>
      <w:r>
        <w:rPr>
          <w:spacing w:val="-2"/>
        </w:rPr>
        <w:t>核算和管理工作。</w:t>
      </w:r>
    </w:p>
    <w:p>
      <w:pPr>
        <w:pStyle w:val="BodyText"/>
        <w:spacing w:line="324" w:lineRule="auto" w:before="6"/>
        <w:ind w:firstLine="638"/>
        <w:jc w:val="both"/>
      </w:pPr>
      <w:r>
        <w:rPr>
          <w:spacing w:val="-8"/>
        </w:rPr>
        <w:t>项目承担单位对国内差旅费中的伙食补助费、市内交通费和</w:t>
      </w:r>
      <w:r>
        <w:rPr>
          <w:spacing w:val="-11"/>
        </w:rPr>
        <w:t>难以取得发票的住宿费，可以包干方式报销。项目承担单位要制</w:t>
      </w:r>
      <w:r>
        <w:rPr>
          <w:spacing w:val="-8"/>
        </w:rPr>
        <w:t>定符合科研实际需要的内部报销规定，切实解决田野考察、心理</w:t>
      </w:r>
      <w:r>
        <w:rPr>
          <w:spacing w:val="-14"/>
        </w:rPr>
        <w:t>测试、访谈问卷等科研活动中无法取得发票或财政性票据等的报</w:t>
      </w:r>
      <w:r>
        <w:rPr>
          <w:spacing w:val="-4"/>
        </w:rPr>
        <w:t>销问题。</w:t>
      </w:r>
    </w:p>
    <w:p>
      <w:pPr>
        <w:pStyle w:val="BodyText"/>
        <w:spacing w:line="406" w:lineRule="exact"/>
        <w:ind w:left="749" w:right="0"/>
      </w:pPr>
      <w:r>
        <w:rPr>
          <w:spacing w:val="-1"/>
        </w:rPr>
        <w:t>项目承担单位应当严格执行国家和北京市有关科研资金管</w:t>
      </w:r>
    </w:p>
    <w:p>
      <w:pPr>
        <w:spacing w:after="0" w:line="406" w:lineRule="exact"/>
        <w:sectPr>
          <w:pgSz w:w="11910" w:h="16840"/>
          <w:pgMar w:header="0" w:footer="1002" w:top="1920" w:bottom="1200" w:left="1480" w:right="1160"/>
        </w:sectPr>
      </w:pPr>
    </w:p>
    <w:p>
      <w:pPr>
        <w:pStyle w:val="BodyText"/>
        <w:spacing w:line="324" w:lineRule="auto" w:before="96"/>
        <w:ind w:right="313"/>
        <w:jc w:val="both"/>
      </w:pPr>
      <w:r>
        <w:rPr>
          <w:spacing w:val="-6"/>
        </w:rPr>
        <w:t>理制度，对应当实行“公务卡”结算的支出，按照财政部门有关规定使用公务卡结算。劳务费、专家咨询费等支出，应当通过银</w:t>
      </w:r>
      <w:r>
        <w:rPr>
          <w:spacing w:val="-2"/>
        </w:rPr>
        <w:t>行转账方式结算，从严控制现金支出事项。</w:t>
      </w:r>
    </w:p>
    <w:p>
      <w:pPr>
        <w:pStyle w:val="BodyText"/>
        <w:spacing w:line="324" w:lineRule="auto"/>
        <w:ind w:firstLine="638"/>
        <w:jc w:val="both"/>
      </w:pPr>
      <w:r>
        <w:rPr>
          <w:spacing w:val="-2"/>
        </w:rPr>
        <w:t>项目承担单位使用市级财政资金购置的固定资产属国有资</w:t>
      </w:r>
      <w:r>
        <w:rPr>
          <w:spacing w:val="-13"/>
        </w:rPr>
        <w:t>产，原则上由项目承担单位进行管理和使用，其处置按国家相关</w:t>
      </w:r>
      <w:r>
        <w:rPr>
          <w:spacing w:val="-12"/>
        </w:rPr>
        <w:t>规定执行。财政资金形成的知识产权等无形资产的管理，按照国</w:t>
      </w:r>
      <w:r>
        <w:rPr>
          <w:spacing w:val="-2"/>
        </w:rPr>
        <w:t>家有关规定执行。</w:t>
      </w:r>
    </w:p>
    <w:p>
      <w:pPr>
        <w:pStyle w:val="BodyText"/>
        <w:spacing w:line="324" w:lineRule="auto"/>
        <w:ind w:firstLine="638"/>
        <w:jc w:val="both"/>
      </w:pPr>
      <w:r>
        <w:rPr>
          <w:spacing w:val="-10"/>
        </w:rPr>
        <w:t>除科研急需的设备和耗材外，涉及政府采购事项的，应严格</w:t>
      </w:r>
      <w:r>
        <w:rPr>
          <w:spacing w:val="-6"/>
        </w:rPr>
        <w:t>按照《中华人民共和国政府采购法》及北京市有关规定执行。项</w:t>
      </w:r>
      <w:r>
        <w:rPr>
          <w:spacing w:val="-2"/>
        </w:rPr>
        <w:t>目承担单位使用财政资金采购北京市政府集中采购目录以内或</w:t>
      </w:r>
      <w:r>
        <w:rPr>
          <w:spacing w:val="-10"/>
        </w:rPr>
        <w:t>者采购限额标准以上的服务项目，均应按照政府采购有关规定执</w:t>
      </w:r>
      <w:r>
        <w:rPr>
          <w:spacing w:val="-6"/>
        </w:rPr>
        <w:t>行。</w:t>
      </w:r>
    </w:p>
    <w:p>
      <w:pPr>
        <w:pStyle w:val="BodyText"/>
        <w:spacing w:line="397" w:lineRule="exact"/>
        <w:ind w:left="747" w:right="0"/>
      </w:pPr>
      <w:r>
        <w:rPr>
          <w:spacing w:val="-12"/>
        </w:rPr>
        <w:t>项目承担单位应当强化预算约束，严格按照本办法规定的资</w:t>
      </w:r>
    </w:p>
    <w:p>
      <w:pPr>
        <w:pStyle w:val="BodyText"/>
        <w:spacing w:line="324" w:lineRule="auto" w:before="143"/>
        <w:ind w:right="154"/>
      </w:pPr>
      <w:r>
        <w:rPr>
          <w:spacing w:val="-19"/>
        </w:rPr>
        <w:t>金支出范围和标准执行，严禁使用项目资金支付各种罚款、捐款、</w:t>
      </w:r>
      <w:r>
        <w:rPr>
          <w:spacing w:val="-2"/>
        </w:rPr>
        <w:t>赞助等，严禁以任何方式牟取私利。</w:t>
      </w:r>
    </w:p>
    <w:p>
      <w:pPr>
        <w:pStyle w:val="BodyText"/>
        <w:tabs>
          <w:tab w:pos="2523" w:val="left" w:leader="none"/>
        </w:tabs>
        <w:spacing w:line="486" w:lineRule="exact"/>
        <w:ind w:left="908" w:right="0"/>
      </w:pPr>
      <w:r>
        <w:rPr>
          <w:rFonts w:ascii="Microsoft JhengHei" w:eastAsia="Microsoft JhengHei"/>
          <w:b/>
        </w:rPr>
        <w:t>第十八</w:t>
      </w:r>
      <w:r>
        <w:rPr>
          <w:rFonts w:ascii="Microsoft JhengHei" w:eastAsia="Microsoft JhengHei"/>
          <w:b/>
          <w:spacing w:val="-10"/>
        </w:rPr>
        <w:t>条</w:t>
      </w:r>
      <w:r>
        <w:rPr>
          <w:rFonts w:ascii="Microsoft JhengHei" w:eastAsia="Microsoft JhengHei"/>
          <w:b/>
        </w:rPr>
        <w:tab/>
      </w:r>
      <w:r>
        <w:rPr>
          <w:spacing w:val="-2"/>
        </w:rPr>
        <w:t>项目负责人根据科研活动实际，需要对项目</w:t>
      </w:r>
      <w:r>
        <w:rPr>
          <w:spacing w:val="-10"/>
        </w:rPr>
        <w:t>预</w:t>
      </w:r>
    </w:p>
    <w:p>
      <w:pPr>
        <w:pStyle w:val="BodyText"/>
        <w:spacing w:before="70"/>
        <w:ind w:right="0"/>
      </w:pPr>
      <w:r>
        <w:rPr>
          <w:spacing w:val="-5"/>
        </w:rPr>
        <w:t>算进行调整的，按以下程序报批：</w:t>
      </w:r>
    </w:p>
    <w:p>
      <w:pPr>
        <w:pStyle w:val="BodyText"/>
        <w:spacing w:line="321" w:lineRule="auto" w:before="146"/>
        <w:ind w:right="196" w:firstLine="638"/>
      </w:pPr>
      <w:r>
        <w:rPr>
          <w:spacing w:val="-2"/>
        </w:rPr>
        <w:t>（一）项目预算总额需要调整，应由项目负责人提出申请，项目承担单位同意，报市社科联、市社科规划办审批。</w:t>
      </w:r>
    </w:p>
    <w:p>
      <w:pPr>
        <w:pStyle w:val="BodyText"/>
        <w:spacing w:line="324" w:lineRule="auto" w:before="3"/>
        <w:ind w:firstLine="638"/>
        <w:jc w:val="both"/>
      </w:pPr>
      <w:r>
        <w:rPr>
          <w:spacing w:val="-6"/>
        </w:rPr>
        <w:t>（二）项目在研期间，在项目总预算不变的情况下，外拨资金、设备费预算需要调整的，应由项目负责人提出申请，报项目</w:t>
      </w:r>
      <w:r>
        <w:rPr>
          <w:spacing w:val="-2"/>
        </w:rPr>
        <w:t>承担单位审批。</w:t>
      </w:r>
    </w:p>
    <w:p>
      <w:pPr>
        <w:pStyle w:val="BodyText"/>
        <w:spacing w:line="411" w:lineRule="exact"/>
        <w:ind w:left="747" w:right="0"/>
      </w:pPr>
      <w:r>
        <w:rPr>
          <w:spacing w:val="-16"/>
        </w:rPr>
        <w:t>业务费、劳务费预算如需调整的，由项目负责人根据科研活</w:t>
      </w:r>
    </w:p>
    <w:p>
      <w:pPr>
        <w:spacing w:after="0" w:line="411" w:lineRule="exact"/>
        <w:sectPr>
          <w:pgSz w:w="11910" w:h="16840"/>
          <w:pgMar w:header="0" w:footer="1002" w:top="1920" w:bottom="1200" w:left="1480" w:right="1160"/>
        </w:sectPr>
      </w:pPr>
    </w:p>
    <w:p>
      <w:pPr>
        <w:pStyle w:val="BodyText"/>
        <w:spacing w:before="96"/>
        <w:ind w:right="0"/>
      </w:pPr>
      <w:r>
        <w:rPr>
          <w:spacing w:val="-5"/>
        </w:rPr>
        <w:t>动实际需要自主安排，报项目承担单位备案。</w:t>
      </w:r>
    </w:p>
    <w:p>
      <w:pPr>
        <w:pStyle w:val="BodyText"/>
        <w:spacing w:line="324" w:lineRule="auto" w:before="143"/>
        <w:ind w:firstLine="638"/>
        <w:jc w:val="both"/>
      </w:pPr>
      <w:r>
        <w:rPr>
          <w:spacing w:val="-6"/>
        </w:rPr>
        <w:t>（三）项目在研期间，间接费用预算总额不得调增，项目承</w:t>
      </w:r>
      <w:r>
        <w:rPr>
          <w:spacing w:val="-7"/>
        </w:rPr>
        <w:t>担单位与项目负责人协商一致后可调减用于直接费用。依据项目</w:t>
      </w:r>
      <w:r>
        <w:rPr>
          <w:spacing w:val="-8"/>
        </w:rPr>
        <w:t>结项等级确定间接费用比例后，由项目负责人提出申请，项目承</w:t>
      </w:r>
      <w:r>
        <w:rPr>
          <w:spacing w:val="-2"/>
        </w:rPr>
        <w:t>担单位审批调整后，报市社科联、市社科规划办备案。</w:t>
      </w:r>
    </w:p>
    <w:p>
      <w:pPr>
        <w:spacing w:line="484" w:lineRule="exact" w:before="0"/>
        <w:ind w:left="747" w:right="0" w:firstLine="0"/>
        <w:jc w:val="both"/>
        <w:rPr>
          <w:sz w:val="32"/>
        </w:rPr>
      </w:pPr>
      <w:r>
        <w:rPr>
          <w:rFonts w:ascii="Microsoft JhengHei" w:eastAsia="Microsoft JhengHei"/>
          <w:b/>
          <w:spacing w:val="17"/>
          <w:sz w:val="32"/>
        </w:rPr>
        <w:t>第十九条  </w:t>
      </w:r>
      <w:r>
        <w:rPr>
          <w:spacing w:val="-11"/>
          <w:sz w:val="32"/>
        </w:rPr>
        <w:t>项目研究完成后，项目负责人应会同所在单位财</w:t>
      </w:r>
    </w:p>
    <w:p>
      <w:pPr>
        <w:pStyle w:val="BodyText"/>
        <w:spacing w:line="324" w:lineRule="auto" w:before="70"/>
        <w:jc w:val="both"/>
      </w:pPr>
      <w:r>
        <w:rPr>
          <w:spacing w:val="-11"/>
        </w:rPr>
        <w:t>务部门清理该项目收支账目，编制《北京市社会科学基金项目结</w:t>
      </w:r>
      <w:r>
        <w:rPr>
          <w:spacing w:val="-14"/>
        </w:rPr>
        <w:t>项审批书》中的项目决算表，并附上由项目承担单位财务管理部</w:t>
      </w:r>
      <w:r>
        <w:rPr>
          <w:spacing w:val="-10"/>
        </w:rPr>
        <w:t>门打印并盖章的资金收支明细账。项目承担单位应实事求是地填</w:t>
      </w:r>
      <w:r>
        <w:rPr>
          <w:spacing w:val="-2"/>
        </w:rPr>
        <w:t>写项目决算表。</w:t>
      </w:r>
    </w:p>
    <w:p>
      <w:pPr>
        <w:pStyle w:val="BodyText"/>
        <w:spacing w:line="324" w:lineRule="auto"/>
        <w:ind w:firstLine="638"/>
        <w:jc w:val="both"/>
      </w:pPr>
      <w:r>
        <w:rPr>
          <w:spacing w:val="-11"/>
        </w:rPr>
        <w:t>有外拨资金的项目，外拨资金决算经合作研究单位财务、审</w:t>
      </w:r>
      <w:r>
        <w:rPr>
          <w:spacing w:val="-2"/>
        </w:rPr>
        <w:t>计部门审核并签署意见后，由项目负责人汇总编制项目资金决</w:t>
      </w:r>
      <w:r>
        <w:rPr>
          <w:spacing w:val="-6"/>
        </w:rPr>
        <w:t>算。</w:t>
      </w:r>
    </w:p>
    <w:p>
      <w:pPr>
        <w:spacing w:line="478" w:lineRule="exact" w:before="0"/>
        <w:ind w:left="747" w:right="0" w:firstLine="0"/>
        <w:jc w:val="both"/>
        <w:rPr>
          <w:sz w:val="32"/>
        </w:rPr>
      </w:pPr>
      <w:r>
        <w:rPr>
          <w:rFonts w:ascii="Microsoft JhengHei" w:eastAsia="Microsoft JhengHei"/>
          <w:b/>
          <w:spacing w:val="17"/>
          <w:sz w:val="32"/>
        </w:rPr>
        <w:t>第二十条  </w:t>
      </w:r>
      <w:r>
        <w:rPr>
          <w:spacing w:val="-12"/>
          <w:sz w:val="32"/>
        </w:rPr>
        <w:t>项目在研期间，年度剩余资金可以结转下一年度</w:t>
      </w:r>
    </w:p>
    <w:p>
      <w:pPr>
        <w:pStyle w:val="BodyText"/>
        <w:spacing w:line="324" w:lineRule="auto" w:before="73"/>
        <w:jc w:val="both"/>
      </w:pPr>
      <w:r>
        <w:rPr>
          <w:spacing w:val="-13"/>
        </w:rPr>
        <w:t>继续使用。项目研究完成并通过审核验收，根据项目结项等级调</w:t>
      </w:r>
      <w:r>
        <w:rPr>
          <w:spacing w:val="-7"/>
        </w:rPr>
        <w:t>整间接费用比例后的结余资金留归项目承担单位使用。项目承担</w:t>
      </w:r>
      <w:r>
        <w:rPr>
          <w:spacing w:val="-8"/>
        </w:rPr>
        <w:t>单位要将结余资金统筹用于科研活动直接支出，优先考虑原项目</w:t>
      </w:r>
      <w:r>
        <w:rPr>
          <w:spacing w:val="-12"/>
        </w:rPr>
        <w:t>团队科研需求。项目承担单位应加强结余资金管理，建立健全结</w:t>
      </w:r>
      <w:r>
        <w:rPr>
          <w:spacing w:val="-2"/>
        </w:rPr>
        <w:t>余资金盘活机制，加快结余资金使用进度。</w:t>
      </w:r>
    </w:p>
    <w:p>
      <w:pPr>
        <w:spacing w:line="479" w:lineRule="exact" w:before="0"/>
        <w:ind w:left="747" w:right="0" w:firstLine="0"/>
        <w:jc w:val="both"/>
        <w:rPr>
          <w:sz w:val="32"/>
        </w:rPr>
      </w:pPr>
      <w:r>
        <w:rPr>
          <w:rFonts w:ascii="Microsoft JhengHei" w:eastAsia="Microsoft JhengHei"/>
          <w:b/>
          <w:spacing w:val="15"/>
          <w:sz w:val="32"/>
        </w:rPr>
        <w:t>第二十一条  </w:t>
      </w:r>
      <w:r>
        <w:rPr>
          <w:spacing w:val="-9"/>
          <w:sz w:val="32"/>
        </w:rPr>
        <w:t>对于因故被终止执行或被撤销的项目，市社科</w:t>
      </w:r>
    </w:p>
    <w:p>
      <w:pPr>
        <w:pStyle w:val="BodyText"/>
        <w:spacing w:line="321" w:lineRule="auto" w:before="72"/>
        <w:jc w:val="both"/>
      </w:pPr>
      <w:r>
        <w:rPr>
          <w:spacing w:val="-12"/>
        </w:rPr>
        <w:t>联、市社科规划办视情节轻重分别做出退回结余资金、退回结余</w:t>
      </w:r>
      <w:r>
        <w:rPr>
          <w:spacing w:val="-11"/>
        </w:rPr>
        <w:t>资金和绩效奖励资金、退回已拨资金处理。项目承担单位应当在</w:t>
      </w:r>
      <w:r>
        <w:rPr>
          <w:spacing w:val="-4"/>
        </w:rPr>
        <w:t>接到通知后 </w:t>
      </w:r>
      <w:r>
        <w:rPr/>
        <w:t>90</w:t>
      </w:r>
      <w:r>
        <w:rPr>
          <w:spacing w:val="-5"/>
        </w:rPr>
        <w:t> 天内按原渠道退回市社科联、市社科规划办。</w:t>
      </w:r>
    </w:p>
    <w:p>
      <w:pPr>
        <w:spacing w:after="0" w:line="321" w:lineRule="auto"/>
        <w:jc w:val="both"/>
        <w:sectPr>
          <w:pgSz w:w="11910" w:h="16840"/>
          <w:pgMar w:header="0" w:footer="1002" w:top="1920" w:bottom="1200" w:left="1480" w:right="1160"/>
        </w:sectPr>
      </w:pPr>
    </w:p>
    <w:p>
      <w:pPr>
        <w:pStyle w:val="BodyText"/>
        <w:spacing w:line="324" w:lineRule="auto" w:before="96"/>
        <w:ind w:right="313" w:firstLine="638"/>
        <w:jc w:val="both"/>
      </w:pPr>
      <w:r>
        <w:rPr>
          <w:spacing w:val="-10"/>
        </w:rPr>
        <w:t>项目承担单位发生变更，由原项目承担单位报市社科联、市</w:t>
      </w:r>
      <w:r>
        <w:rPr>
          <w:spacing w:val="-13"/>
        </w:rPr>
        <w:t>社科规划办备案后，及时向新的项目承担单位转拨需转拨的项目</w:t>
      </w:r>
      <w:r>
        <w:rPr>
          <w:spacing w:val="-4"/>
        </w:rPr>
        <w:t>资金。</w:t>
      </w:r>
    </w:p>
    <w:p>
      <w:pPr>
        <w:pStyle w:val="BodyText"/>
        <w:spacing w:before="151"/>
        <w:ind w:left="2" w:right="207"/>
        <w:jc w:val="center"/>
        <w:rPr>
          <w:rFonts w:ascii="黑体" w:eastAsia="黑体"/>
        </w:rPr>
      </w:pPr>
      <w:r>
        <w:rPr>
          <w:rFonts w:ascii="黑体" w:eastAsia="黑体"/>
        </w:rPr>
        <w:t>第四章</w:t>
      </w:r>
      <w:r>
        <w:rPr>
          <w:rFonts w:ascii="黑体" w:eastAsia="黑体"/>
          <w:spacing w:val="53"/>
          <w:w w:val="150"/>
        </w:rPr>
        <w:t> </w:t>
      </w:r>
      <w:bookmarkStart w:name="第四章 包干制项目资金管理" w:id="2"/>
      <w:bookmarkEnd w:id="2"/>
      <w:r>
        <w:rPr>
          <w:rFonts w:ascii="黑体" w:eastAsia="黑体"/>
          <w:spacing w:val="-2"/>
        </w:rPr>
        <w:t>包干制项目资金管理</w:t>
      </w:r>
    </w:p>
    <w:p>
      <w:pPr>
        <w:spacing w:before="235"/>
        <w:ind w:left="108" w:right="0" w:firstLine="638"/>
        <w:jc w:val="both"/>
        <w:rPr>
          <w:sz w:val="32"/>
        </w:rPr>
      </w:pPr>
      <w:bookmarkStart w:name="    第二十二条  包干制项目负责人应当在承诺遵守科研伦理道德和科研诚信要求、" w:id="3"/>
      <w:bookmarkEnd w:id="3"/>
      <w:r>
        <w:rPr/>
      </w:r>
      <w:r>
        <w:rPr>
          <w:rFonts w:ascii="Microsoft JhengHei" w:eastAsia="Microsoft JhengHei"/>
          <w:b/>
          <w:spacing w:val="26"/>
          <w:sz w:val="32"/>
        </w:rPr>
        <w:t>第二十二条   </w:t>
      </w:r>
      <w:r>
        <w:rPr>
          <w:spacing w:val="-1"/>
          <w:sz w:val="32"/>
        </w:rPr>
        <w:t>包干制项目负责人应当在承诺遵守科研伦理</w:t>
      </w:r>
    </w:p>
    <w:p>
      <w:pPr>
        <w:pStyle w:val="BodyText"/>
        <w:spacing w:line="321" w:lineRule="auto" w:before="73"/>
        <w:ind w:right="309"/>
        <w:jc w:val="both"/>
      </w:pPr>
      <w:r>
        <w:rPr>
          <w:spacing w:val="-13"/>
        </w:rPr>
        <w:t>道德和科研诚信要求、资金全部用于与项目研究工作相关支出的</w:t>
      </w:r>
      <w:r>
        <w:rPr>
          <w:spacing w:val="-6"/>
        </w:rPr>
        <w:t>基础上，本着科学、合理、规范、有效的原则使用资金，无需编</w:t>
      </w:r>
      <w:r>
        <w:rPr>
          <w:spacing w:val="-2"/>
        </w:rPr>
        <w:t>制项目预算。</w:t>
      </w:r>
    </w:p>
    <w:p>
      <w:pPr>
        <w:spacing w:line="496" w:lineRule="exact" w:before="0"/>
        <w:ind w:left="747" w:right="0" w:firstLine="0"/>
        <w:jc w:val="both"/>
        <w:rPr>
          <w:sz w:val="32"/>
        </w:rPr>
      </w:pPr>
      <w:bookmarkStart w:name="第二十三条  包干制项目资金由项目负责人自主决定使用，按照本办法第十条、第十一条" w:id="4"/>
      <w:bookmarkEnd w:id="4"/>
      <w:r>
        <w:rPr/>
      </w:r>
      <w:r>
        <w:rPr>
          <w:rFonts w:ascii="Microsoft JhengHei" w:eastAsia="Microsoft JhengHei"/>
          <w:b/>
          <w:spacing w:val="15"/>
          <w:sz w:val="32"/>
        </w:rPr>
        <w:t>第二十三条  </w:t>
      </w:r>
      <w:r>
        <w:rPr>
          <w:spacing w:val="-1"/>
          <w:sz w:val="32"/>
        </w:rPr>
        <w:t>包干制项目资金由项目负责人自主决定使用，</w:t>
      </w:r>
    </w:p>
    <w:p>
      <w:pPr>
        <w:pStyle w:val="BodyText"/>
        <w:spacing w:line="321" w:lineRule="auto" w:before="70"/>
        <w:ind w:right="313"/>
      </w:pPr>
      <w:r>
        <w:rPr>
          <w:spacing w:val="-12"/>
        </w:rPr>
        <w:t>按照本办法第十条、第十一条规定的支出范围列支，无需履行调</w:t>
      </w:r>
      <w:r>
        <w:rPr>
          <w:spacing w:val="-4"/>
        </w:rPr>
        <w:t>剂程序。</w:t>
      </w:r>
    </w:p>
    <w:p>
      <w:pPr>
        <w:tabs>
          <w:tab w:pos="2729" w:val="left" w:leader="none"/>
        </w:tabs>
        <w:spacing w:line="495" w:lineRule="exact" w:before="0"/>
        <w:ind w:left="747" w:right="0" w:firstLine="0"/>
        <w:jc w:val="left"/>
        <w:rPr>
          <w:sz w:val="32"/>
        </w:rPr>
      </w:pPr>
      <w:bookmarkStart w:name="第二十四条  项目承担单位应当制定项目资金包干制管理规定，包括资金使用范围和标准" w:id="5"/>
      <w:bookmarkEnd w:id="5"/>
      <w:r>
        <w:rPr/>
      </w:r>
      <w:r>
        <w:rPr>
          <w:rFonts w:ascii="Microsoft JhengHei" w:eastAsia="Microsoft JhengHei"/>
          <w:b/>
          <w:sz w:val="32"/>
        </w:rPr>
        <w:t>第二</w:t>
      </w:r>
      <w:r>
        <w:rPr>
          <w:rFonts w:ascii="Microsoft JhengHei" w:eastAsia="Microsoft JhengHei"/>
          <w:b/>
          <w:spacing w:val="12"/>
          <w:sz w:val="32"/>
        </w:rPr>
        <w:t>十</w:t>
      </w:r>
      <w:r>
        <w:rPr>
          <w:rFonts w:ascii="Microsoft JhengHei" w:eastAsia="Microsoft JhengHei"/>
          <w:b/>
          <w:sz w:val="32"/>
        </w:rPr>
        <w:t>四</w:t>
      </w:r>
      <w:r>
        <w:rPr>
          <w:rFonts w:ascii="Microsoft JhengHei" w:eastAsia="Microsoft JhengHei"/>
          <w:b/>
          <w:spacing w:val="-10"/>
          <w:sz w:val="32"/>
        </w:rPr>
        <w:t>条</w:t>
      </w:r>
      <w:r>
        <w:rPr>
          <w:rFonts w:ascii="Microsoft JhengHei" w:eastAsia="Microsoft JhengHei"/>
          <w:b/>
          <w:sz w:val="32"/>
        </w:rPr>
        <w:tab/>
      </w:r>
      <w:r>
        <w:rPr>
          <w:sz w:val="32"/>
        </w:rPr>
        <w:t>项目承担单位应当制定项目资金包干制管</w:t>
      </w:r>
      <w:r>
        <w:rPr>
          <w:spacing w:val="-10"/>
          <w:sz w:val="32"/>
        </w:rPr>
        <w:t>理</w:t>
      </w:r>
    </w:p>
    <w:p>
      <w:pPr>
        <w:pStyle w:val="BodyText"/>
        <w:spacing w:line="321" w:lineRule="auto" w:before="70"/>
        <w:ind w:right="313"/>
      </w:pPr>
      <w:r>
        <w:rPr>
          <w:spacing w:val="-6"/>
        </w:rPr>
        <w:t>规定，包括资金使用范围和标准、各方责任、违规惩戒措施等内</w:t>
      </w:r>
      <w:r>
        <w:rPr>
          <w:spacing w:val="-2"/>
        </w:rPr>
        <w:t>容，报市社科联、市社科规划办备案。</w:t>
      </w:r>
    </w:p>
    <w:p>
      <w:pPr>
        <w:tabs>
          <w:tab w:pos="2674" w:val="left" w:leader="none"/>
        </w:tabs>
        <w:spacing w:line="495" w:lineRule="exact" w:before="0"/>
        <w:ind w:left="747" w:right="0" w:firstLine="0"/>
        <w:jc w:val="left"/>
        <w:rPr>
          <w:sz w:val="32"/>
        </w:rPr>
      </w:pPr>
      <w:bookmarkStart w:name="第二十五条  包干制项目资金使用相关规定另行制定。" w:id="6"/>
      <w:bookmarkEnd w:id="6"/>
      <w:r>
        <w:rPr/>
      </w:r>
      <w:r>
        <w:rPr>
          <w:rFonts w:ascii="Microsoft JhengHei" w:eastAsia="Microsoft JhengHei"/>
          <w:b/>
          <w:spacing w:val="-2"/>
          <w:sz w:val="32"/>
        </w:rPr>
        <w:t>第二十五</w:t>
      </w:r>
      <w:r>
        <w:rPr>
          <w:rFonts w:ascii="Microsoft JhengHei" w:eastAsia="Microsoft JhengHei"/>
          <w:b/>
          <w:spacing w:val="-10"/>
          <w:sz w:val="32"/>
        </w:rPr>
        <w:t>条</w:t>
      </w:r>
      <w:r>
        <w:rPr>
          <w:rFonts w:ascii="Microsoft JhengHei" w:eastAsia="Microsoft JhengHei"/>
          <w:b/>
          <w:sz w:val="32"/>
        </w:rPr>
        <w:tab/>
      </w:r>
      <w:r>
        <w:rPr>
          <w:spacing w:val="-4"/>
          <w:sz w:val="32"/>
        </w:rPr>
        <w:t>包干制项目资金使用相关规定另行制定</w:t>
      </w:r>
      <w:r>
        <w:rPr>
          <w:spacing w:val="-10"/>
          <w:sz w:val="32"/>
        </w:rPr>
        <w:t>。</w:t>
      </w:r>
    </w:p>
    <w:p>
      <w:pPr>
        <w:pStyle w:val="BodyText"/>
        <w:spacing w:before="227"/>
        <w:ind w:left="2" w:right="207"/>
        <w:jc w:val="center"/>
        <w:rPr>
          <w:rFonts w:ascii="黑体" w:eastAsia="黑体"/>
        </w:rPr>
      </w:pPr>
      <w:bookmarkStart w:name="第五章  绩效管理与监督检查" w:id="7"/>
      <w:bookmarkEnd w:id="7"/>
      <w:r>
        <w:rPr/>
      </w:r>
      <w:r>
        <w:rPr>
          <w:rFonts w:ascii="黑体" w:eastAsia="黑体"/>
        </w:rPr>
        <w:t>第五章</w:t>
      </w:r>
      <w:r>
        <w:rPr>
          <w:rFonts w:ascii="黑体" w:eastAsia="黑体"/>
          <w:spacing w:val="53"/>
          <w:w w:val="150"/>
        </w:rPr>
        <w:t> </w:t>
      </w:r>
      <w:r>
        <w:rPr>
          <w:rFonts w:ascii="黑体" w:eastAsia="黑体"/>
          <w:spacing w:val="-2"/>
        </w:rPr>
        <w:t>绩效管理与监督检查</w:t>
      </w:r>
    </w:p>
    <w:p>
      <w:pPr>
        <w:tabs>
          <w:tab w:pos="2674" w:val="left" w:leader="none"/>
        </w:tabs>
        <w:spacing w:before="234"/>
        <w:ind w:left="108" w:right="0" w:firstLine="638"/>
        <w:jc w:val="left"/>
        <w:rPr>
          <w:sz w:val="32"/>
        </w:rPr>
      </w:pPr>
      <w:r>
        <w:rPr>
          <w:rFonts w:ascii="Microsoft JhengHei" w:eastAsia="Microsoft JhengHei"/>
          <w:b/>
          <w:spacing w:val="-2"/>
          <w:sz w:val="32"/>
        </w:rPr>
        <w:t>第二十六</w:t>
      </w:r>
      <w:r>
        <w:rPr>
          <w:rFonts w:ascii="Microsoft JhengHei" w:eastAsia="Microsoft JhengHei"/>
          <w:b/>
          <w:spacing w:val="-10"/>
          <w:sz w:val="32"/>
        </w:rPr>
        <w:t>条</w:t>
      </w:r>
      <w:r>
        <w:rPr>
          <w:rFonts w:ascii="Microsoft JhengHei" w:eastAsia="Microsoft JhengHei"/>
          <w:b/>
          <w:sz w:val="32"/>
        </w:rPr>
        <w:tab/>
      </w:r>
      <w:r>
        <w:rPr>
          <w:spacing w:val="-4"/>
          <w:sz w:val="32"/>
        </w:rPr>
        <w:t>市社科联</w:t>
      </w:r>
      <w:r>
        <w:rPr>
          <w:spacing w:val="-123"/>
          <w:sz w:val="32"/>
        </w:rPr>
        <w:t>、</w:t>
      </w:r>
      <w:r>
        <w:rPr>
          <w:spacing w:val="-4"/>
          <w:sz w:val="32"/>
        </w:rPr>
        <w:t>市社科规划办建立项目绩效评价</w:t>
      </w:r>
      <w:r>
        <w:rPr>
          <w:spacing w:val="-10"/>
          <w:sz w:val="32"/>
        </w:rPr>
        <w:t>机</w:t>
      </w:r>
    </w:p>
    <w:p>
      <w:pPr>
        <w:pStyle w:val="BodyText"/>
        <w:spacing w:line="321" w:lineRule="auto" w:before="73"/>
      </w:pPr>
      <w:r>
        <w:rPr>
          <w:spacing w:val="-6"/>
        </w:rPr>
        <w:t>制，进一步强化绩效导向，将绩效奖励与成果质量挂钩，强化绩</w:t>
      </w:r>
      <w:r>
        <w:rPr>
          <w:spacing w:val="-2"/>
        </w:rPr>
        <w:t>效评价结果运用，将绩效评价结果作为后续支持的重要参考。</w:t>
      </w:r>
    </w:p>
    <w:p>
      <w:pPr>
        <w:pStyle w:val="BodyText"/>
        <w:spacing w:line="324" w:lineRule="auto" w:before="4"/>
        <w:ind w:right="313" w:firstLine="638"/>
      </w:pPr>
      <w:r>
        <w:rPr>
          <w:spacing w:val="-10"/>
        </w:rPr>
        <w:t>项目承担单位应切实加强绩效管理。引导科研资源向优秀人</w:t>
      </w:r>
      <w:r>
        <w:rPr>
          <w:spacing w:val="-2"/>
        </w:rPr>
        <w:t>才和团队倾斜，提高科研资金使用效益。</w:t>
      </w:r>
    </w:p>
    <w:p>
      <w:pPr>
        <w:tabs>
          <w:tab w:pos="2674" w:val="left" w:leader="none"/>
        </w:tabs>
        <w:spacing w:line="486" w:lineRule="exact" w:before="0"/>
        <w:ind w:left="747" w:right="0" w:firstLine="0"/>
        <w:jc w:val="left"/>
        <w:rPr>
          <w:sz w:val="32"/>
        </w:rPr>
      </w:pPr>
      <w:r>
        <w:rPr>
          <w:rFonts w:ascii="Microsoft JhengHei" w:eastAsia="Microsoft JhengHei"/>
          <w:b/>
          <w:spacing w:val="-2"/>
          <w:sz w:val="32"/>
        </w:rPr>
        <w:t>第二十七</w:t>
      </w:r>
      <w:r>
        <w:rPr>
          <w:rFonts w:ascii="Microsoft JhengHei" w:eastAsia="Microsoft JhengHei"/>
          <w:b/>
          <w:spacing w:val="-10"/>
          <w:sz w:val="32"/>
        </w:rPr>
        <w:t>条</w:t>
      </w:r>
      <w:r>
        <w:rPr>
          <w:rFonts w:ascii="Microsoft JhengHei" w:eastAsia="Microsoft JhengHei"/>
          <w:b/>
          <w:sz w:val="32"/>
        </w:rPr>
        <w:tab/>
      </w:r>
      <w:r>
        <w:rPr>
          <w:spacing w:val="-4"/>
          <w:sz w:val="32"/>
        </w:rPr>
        <w:t>项目承担单位应当加强项目预算审核把关</w:t>
      </w:r>
      <w:r>
        <w:rPr>
          <w:spacing w:val="-123"/>
          <w:sz w:val="32"/>
        </w:rPr>
        <w:t>，</w:t>
      </w:r>
      <w:r>
        <w:rPr>
          <w:spacing w:val="-10"/>
          <w:sz w:val="32"/>
        </w:rPr>
        <w:t>规</w:t>
      </w:r>
    </w:p>
    <w:p>
      <w:pPr>
        <w:spacing w:after="0" w:line="486" w:lineRule="exact"/>
        <w:jc w:val="left"/>
        <w:rPr>
          <w:sz w:val="32"/>
        </w:rPr>
        <w:sectPr>
          <w:pgSz w:w="11910" w:h="16840"/>
          <w:pgMar w:header="0" w:footer="1002" w:top="1920" w:bottom="1200" w:left="1480" w:right="1160"/>
        </w:sectPr>
      </w:pPr>
    </w:p>
    <w:p>
      <w:pPr>
        <w:pStyle w:val="BodyText"/>
        <w:spacing w:line="324" w:lineRule="auto" w:before="96"/>
        <w:jc w:val="both"/>
      </w:pPr>
      <w:r>
        <w:rPr>
          <w:spacing w:val="-12"/>
        </w:rPr>
        <w:t>范财务支出行为，完善内部风险防控机制，强化资金使用绩效评</w:t>
      </w:r>
      <w:r>
        <w:rPr>
          <w:spacing w:val="-14"/>
        </w:rPr>
        <w:t>价，保障资金使用安全规范有效。项目承担单位项目资金管理和</w:t>
      </w:r>
      <w:r>
        <w:rPr>
          <w:spacing w:val="-6"/>
        </w:rPr>
        <w:t>使用情况，要自觉接受财政、审计、监察部门和市社科联、市社</w:t>
      </w:r>
      <w:r>
        <w:rPr>
          <w:spacing w:val="-11"/>
        </w:rPr>
        <w:t>科规划办的监督检查。项目承担单位应当积极配合，如实反映情</w:t>
      </w:r>
      <w:r>
        <w:rPr>
          <w:spacing w:val="-2"/>
        </w:rPr>
        <w:t>况，提供有关资料。</w:t>
      </w:r>
    </w:p>
    <w:p>
      <w:pPr>
        <w:spacing w:line="482" w:lineRule="exact" w:before="0"/>
        <w:ind w:left="747" w:right="0" w:firstLine="0"/>
        <w:jc w:val="both"/>
        <w:rPr>
          <w:sz w:val="32"/>
        </w:rPr>
      </w:pPr>
      <w:r>
        <w:rPr>
          <w:rFonts w:ascii="Microsoft JhengHei" w:eastAsia="Microsoft JhengHei"/>
          <w:b/>
          <w:spacing w:val="26"/>
          <w:sz w:val="32"/>
        </w:rPr>
        <w:t>第二十八条   </w:t>
      </w:r>
      <w:r>
        <w:rPr>
          <w:spacing w:val="-1"/>
          <w:sz w:val="32"/>
        </w:rPr>
        <w:t>项目承担单位应当按照本办法和北京市相关</w:t>
      </w:r>
    </w:p>
    <w:p>
      <w:pPr>
        <w:pStyle w:val="BodyText"/>
        <w:spacing w:line="324" w:lineRule="auto" w:before="70"/>
        <w:jc w:val="both"/>
      </w:pPr>
      <w:r>
        <w:rPr>
          <w:spacing w:val="-9"/>
        </w:rPr>
        <w:t>财经法规及财务管理规定，制定项目资金内部管理办法，明确审</w:t>
      </w:r>
      <w:r>
        <w:rPr>
          <w:spacing w:val="-6"/>
        </w:rPr>
        <w:t>批程序、管理要求和报销规定，落实项目预算调整、间接费用统</w:t>
      </w:r>
      <w:r>
        <w:rPr>
          <w:spacing w:val="-2"/>
        </w:rPr>
        <w:t>筹使用、劳务费分配管理、结余资金使用等管理权限。</w:t>
      </w:r>
    </w:p>
    <w:p>
      <w:pPr>
        <w:pStyle w:val="BodyText"/>
        <w:spacing w:line="324" w:lineRule="auto"/>
        <w:ind w:firstLine="638"/>
        <w:jc w:val="both"/>
      </w:pPr>
      <w:r>
        <w:rPr>
          <w:spacing w:val="-8"/>
        </w:rPr>
        <w:t>项目承担单位应当建立健全科研财务助理制度，为科研人员</w:t>
      </w:r>
      <w:r>
        <w:rPr>
          <w:spacing w:val="-11"/>
        </w:rPr>
        <w:t>在项目预算编制和调整、经费支出、项目资金决算和验收等方面</w:t>
      </w:r>
      <w:r>
        <w:rPr>
          <w:spacing w:val="-2"/>
        </w:rPr>
        <w:t>提供专业化服务。</w:t>
      </w:r>
    </w:p>
    <w:p>
      <w:pPr>
        <w:pStyle w:val="BodyText"/>
        <w:spacing w:line="324" w:lineRule="auto"/>
        <w:ind w:firstLine="638"/>
        <w:jc w:val="both"/>
      </w:pPr>
      <w:r>
        <w:rPr>
          <w:spacing w:val="-8"/>
        </w:rPr>
        <w:t>项目承担单位应加强财务数据的电子化建设，建立健全单位</w:t>
      </w:r>
      <w:r>
        <w:rPr>
          <w:spacing w:val="-6"/>
        </w:rPr>
        <w:t>内部科研、财务、项目负责人共享的信息平台，推动科研资金报</w:t>
      </w:r>
      <w:r>
        <w:rPr>
          <w:spacing w:val="-2"/>
        </w:rPr>
        <w:t>销的数字化，提高科研管理效率和便利化程度。</w:t>
      </w:r>
    </w:p>
    <w:p>
      <w:pPr>
        <w:spacing w:line="484" w:lineRule="exact" w:before="0"/>
        <w:ind w:left="747" w:right="0" w:firstLine="0"/>
        <w:jc w:val="both"/>
        <w:rPr>
          <w:sz w:val="32"/>
        </w:rPr>
      </w:pPr>
      <w:r>
        <w:rPr>
          <w:rFonts w:ascii="Microsoft JhengHei" w:eastAsia="Microsoft JhengHei"/>
          <w:b/>
          <w:spacing w:val="14"/>
          <w:sz w:val="32"/>
        </w:rPr>
        <w:t>第二十九条  </w:t>
      </w:r>
      <w:r>
        <w:rPr>
          <w:spacing w:val="-12"/>
          <w:sz w:val="32"/>
        </w:rPr>
        <w:t>项目承担单位、项目负责人及项目相关工作人</w:t>
      </w:r>
    </w:p>
    <w:p>
      <w:pPr>
        <w:pStyle w:val="BodyText"/>
        <w:spacing w:line="324" w:lineRule="auto" w:before="61"/>
        <w:jc w:val="both"/>
      </w:pPr>
      <w:r>
        <w:rPr>
          <w:spacing w:val="-8"/>
        </w:rPr>
        <w:t>员应当依法依规使用项目资金，不得擅自调整外拨资金，不得利</w:t>
      </w:r>
      <w:r>
        <w:rPr>
          <w:spacing w:val="-11"/>
        </w:rPr>
        <w:t>用虚假票据套取资金，不得通过编造虚假劳务合同、虚构人员名</w:t>
      </w:r>
      <w:r>
        <w:rPr>
          <w:spacing w:val="-9"/>
        </w:rPr>
        <w:t>单等方式虚报冒领劳务费和专家咨询费，不得列支与项目研究无</w:t>
      </w:r>
      <w:r>
        <w:rPr>
          <w:spacing w:val="-6"/>
        </w:rPr>
        <w:t>关的支出，不得使用项目资金支付各种罚款、捐款、赞助、投资</w:t>
      </w:r>
      <w:r>
        <w:rPr>
          <w:spacing w:val="-2"/>
        </w:rPr>
        <w:t>等。不得有其他违反国家财经纪律的行为。</w:t>
      </w:r>
    </w:p>
    <w:p>
      <w:pPr>
        <w:pStyle w:val="BodyText"/>
        <w:spacing w:line="321" w:lineRule="auto"/>
        <w:ind w:right="313" w:firstLine="638"/>
      </w:pPr>
      <w:r>
        <w:rPr>
          <w:spacing w:val="-2"/>
        </w:rPr>
        <w:t>项目负责人使用项目资金情况应当自觉接受有关部门的监</w:t>
      </w:r>
      <w:r>
        <w:rPr>
          <w:spacing w:val="-4"/>
        </w:rPr>
        <w:t>督检查。</w:t>
      </w:r>
    </w:p>
    <w:p>
      <w:pPr>
        <w:spacing w:after="0" w:line="321" w:lineRule="auto"/>
        <w:sectPr>
          <w:pgSz w:w="11910" w:h="16840"/>
          <w:pgMar w:header="0" w:footer="1002" w:top="1920" w:bottom="1200" w:left="1480" w:right="1160"/>
        </w:sectPr>
      </w:pPr>
    </w:p>
    <w:p>
      <w:pPr>
        <w:pStyle w:val="BodyText"/>
        <w:tabs>
          <w:tab w:pos="2352" w:val="left" w:leader="none"/>
        </w:tabs>
        <w:spacing w:line="271" w:lineRule="auto" w:before="31"/>
        <w:ind w:firstLine="638"/>
      </w:pPr>
      <w:r>
        <w:rPr>
          <w:rFonts w:ascii="Microsoft JhengHei" w:eastAsia="Microsoft JhengHei"/>
          <w:b/>
          <w:spacing w:val="-4"/>
        </w:rPr>
        <w:t>第三十条</w:t>
      </w:r>
      <w:r>
        <w:rPr>
          <w:rFonts w:ascii="Microsoft JhengHei" w:eastAsia="Microsoft JhengHei"/>
          <w:b/>
        </w:rPr>
        <w:tab/>
      </w:r>
      <w:r>
        <w:rPr>
          <w:spacing w:val="-2"/>
        </w:rPr>
        <w:t>建立项目资金使用和管理的承诺机制</w:t>
      </w:r>
      <w:r>
        <w:rPr>
          <w:spacing w:val="-120"/>
        </w:rPr>
        <w:t>。</w:t>
      </w:r>
      <w:r>
        <w:rPr>
          <w:spacing w:val="-2"/>
        </w:rPr>
        <w:t>项目承担</w:t>
      </w:r>
      <w:r>
        <w:rPr>
          <w:spacing w:val="-4"/>
        </w:rPr>
        <w:t>单位应当承诺依法依规履行项目资金管理的职责</w:t>
      </w:r>
      <w:r>
        <w:rPr>
          <w:spacing w:val="-115"/>
        </w:rPr>
        <w:t>，</w:t>
      </w:r>
      <w:r>
        <w:rPr>
          <w:spacing w:val="-4"/>
        </w:rPr>
        <w:t>项目负责人</w:t>
      </w:r>
      <w:r>
        <w:rPr>
          <w:spacing w:val="-10"/>
        </w:rPr>
        <w:t>应</w:t>
      </w:r>
    </w:p>
    <w:p>
      <w:pPr>
        <w:pStyle w:val="BodyText"/>
        <w:spacing w:line="321" w:lineRule="auto" w:before="90"/>
      </w:pPr>
      <w:r>
        <w:rPr>
          <w:spacing w:val="-2"/>
        </w:rPr>
        <w:t>当承诺提供真实的项目信息并认真遵守项目资金管理的有关规</w:t>
      </w:r>
      <w:r>
        <w:rPr>
          <w:spacing w:val="-6"/>
        </w:rPr>
        <w:t>定。</w:t>
      </w:r>
    </w:p>
    <w:p>
      <w:pPr>
        <w:spacing w:line="493" w:lineRule="exact" w:before="0"/>
        <w:ind w:left="747" w:right="0" w:firstLine="0"/>
        <w:jc w:val="both"/>
        <w:rPr>
          <w:sz w:val="32"/>
        </w:rPr>
      </w:pPr>
      <w:r>
        <w:rPr>
          <w:rFonts w:ascii="Microsoft JhengHei" w:eastAsia="Microsoft JhengHei"/>
          <w:b/>
          <w:spacing w:val="15"/>
          <w:sz w:val="32"/>
        </w:rPr>
        <w:t>第三十一条  </w:t>
      </w:r>
      <w:r>
        <w:rPr>
          <w:spacing w:val="-9"/>
          <w:sz w:val="32"/>
        </w:rPr>
        <w:t>建立项目资金使用和管理的信用机制。市社科</w:t>
      </w:r>
    </w:p>
    <w:p>
      <w:pPr>
        <w:pStyle w:val="BodyText"/>
        <w:spacing w:line="321" w:lineRule="auto" w:before="72"/>
        <w:ind w:right="313"/>
        <w:jc w:val="both"/>
      </w:pPr>
      <w:r>
        <w:rPr>
          <w:spacing w:val="-14"/>
        </w:rPr>
        <w:t>联、市社科规划办对项目承担单位和项目负责人在项目资金使用</w:t>
      </w:r>
      <w:r>
        <w:rPr>
          <w:spacing w:val="-9"/>
        </w:rPr>
        <w:t>和管理方面的信誉度进行评价和记录，作为对项目承担单位信用</w:t>
      </w:r>
      <w:r>
        <w:rPr>
          <w:spacing w:val="-2"/>
        </w:rPr>
        <w:t>评级和对项目负责人绩效考评以及后续资助的重要依据。</w:t>
      </w:r>
    </w:p>
    <w:p>
      <w:pPr>
        <w:spacing w:line="496" w:lineRule="exact" w:before="0"/>
        <w:ind w:left="747" w:right="0" w:firstLine="0"/>
        <w:jc w:val="both"/>
        <w:rPr>
          <w:sz w:val="32"/>
        </w:rPr>
      </w:pPr>
      <w:r>
        <w:rPr>
          <w:rFonts w:ascii="Microsoft JhengHei" w:eastAsia="Microsoft JhengHei"/>
          <w:b/>
          <w:spacing w:val="15"/>
          <w:sz w:val="32"/>
        </w:rPr>
        <w:t>第三十二条  </w:t>
      </w:r>
      <w:r>
        <w:rPr>
          <w:spacing w:val="-8"/>
          <w:sz w:val="32"/>
        </w:rPr>
        <w:t>建立项目资金使用和管理的信息公开机制。项</w:t>
      </w:r>
    </w:p>
    <w:p>
      <w:pPr>
        <w:pStyle w:val="BodyText"/>
        <w:spacing w:line="324" w:lineRule="auto" w:before="71"/>
        <w:ind w:right="309"/>
        <w:jc w:val="both"/>
      </w:pPr>
      <w:r>
        <w:rPr>
          <w:spacing w:val="-7"/>
        </w:rPr>
        <w:t>目承担单位和项目负责人应当在单位内部公开项目预算、预算调</w:t>
      </w:r>
      <w:r>
        <w:rPr>
          <w:spacing w:val="-6"/>
        </w:rPr>
        <w:t>整、决算、项目组人员构成、设备购置、外拨资金、劳务费发放</w:t>
      </w:r>
      <w:r>
        <w:rPr>
          <w:spacing w:val="-2"/>
        </w:rPr>
        <w:t>以及间接费用和结余资金使用等情况，自觉接受监督。</w:t>
      </w:r>
    </w:p>
    <w:p>
      <w:pPr>
        <w:spacing w:line="484" w:lineRule="exact" w:before="0"/>
        <w:ind w:left="747" w:right="0" w:firstLine="0"/>
        <w:jc w:val="both"/>
        <w:rPr>
          <w:sz w:val="32"/>
        </w:rPr>
      </w:pPr>
      <w:r>
        <w:rPr>
          <w:rFonts w:ascii="Microsoft JhengHei" w:eastAsia="Microsoft JhengHei"/>
          <w:b/>
          <w:spacing w:val="8"/>
          <w:sz w:val="32"/>
        </w:rPr>
        <w:t>第三十三条  </w:t>
      </w:r>
      <w:r>
        <w:rPr>
          <w:spacing w:val="-5"/>
          <w:sz w:val="32"/>
        </w:rPr>
        <w:t>对有虚报、冒领、截留、挪用、滞留财政资金</w:t>
      </w:r>
    </w:p>
    <w:p>
      <w:pPr>
        <w:pStyle w:val="BodyText"/>
        <w:spacing w:line="324" w:lineRule="auto" w:before="70"/>
        <w:jc w:val="both"/>
      </w:pPr>
      <w:r>
        <w:rPr>
          <w:spacing w:val="-6"/>
        </w:rPr>
        <w:t>等违法行为的单位和人员，依照《中华人民共和国预算法》及其实施条例、《中华人民共和国会计法》、《财政违法行为处罚处分条例》等有关规定追究相应责任。涉嫌犯罪的，依法移送有关</w:t>
      </w:r>
      <w:r>
        <w:rPr>
          <w:spacing w:val="-2"/>
        </w:rPr>
        <w:t>机关处理。</w:t>
      </w:r>
    </w:p>
    <w:p>
      <w:pPr>
        <w:pStyle w:val="BodyText"/>
        <w:spacing w:before="151"/>
        <w:ind w:left="1" w:right="207"/>
        <w:jc w:val="center"/>
        <w:rPr>
          <w:rFonts w:ascii="黑体" w:eastAsia="黑体"/>
        </w:rPr>
      </w:pPr>
      <w:bookmarkStart w:name="第六章 附  则" w:id="8"/>
      <w:bookmarkEnd w:id="8"/>
      <w:r>
        <w:rPr/>
      </w:r>
      <w:r>
        <w:rPr>
          <w:rFonts w:ascii="黑体" w:eastAsia="黑体"/>
          <w:spacing w:val="-2"/>
        </w:rPr>
        <w:t>第六章 附</w:t>
      </w:r>
      <w:r>
        <w:rPr>
          <w:rFonts w:ascii="黑体" w:eastAsia="黑体"/>
          <w:spacing w:val="74"/>
          <w:w w:val="150"/>
        </w:rPr>
        <w:t> </w:t>
      </w:r>
      <w:r>
        <w:rPr>
          <w:rFonts w:ascii="黑体" w:eastAsia="黑体"/>
          <w:spacing w:val="-10"/>
        </w:rPr>
        <w:t>则</w:t>
      </w:r>
    </w:p>
    <w:p>
      <w:pPr>
        <w:pStyle w:val="BodyText"/>
        <w:tabs>
          <w:tab w:pos="2676" w:val="left" w:leader="none"/>
        </w:tabs>
        <w:spacing w:line="271" w:lineRule="auto" w:before="235"/>
        <w:ind w:firstLine="638"/>
      </w:pPr>
      <w:r>
        <w:rPr>
          <w:rFonts w:ascii="Microsoft JhengHei" w:eastAsia="Microsoft JhengHei"/>
          <w:b/>
          <w:spacing w:val="-2"/>
        </w:rPr>
        <w:t>第三十四条</w:t>
      </w:r>
      <w:r>
        <w:rPr>
          <w:rFonts w:ascii="Microsoft JhengHei" w:eastAsia="Microsoft JhengHei"/>
          <w:b/>
        </w:rPr>
        <w:tab/>
      </w:r>
      <w:r>
        <w:rPr>
          <w:spacing w:val="-2"/>
        </w:rPr>
        <w:t>本办法由北京市财政局</w:t>
      </w:r>
      <w:r>
        <w:rPr>
          <w:spacing w:val="-60"/>
        </w:rPr>
        <w:t>，</w:t>
      </w:r>
      <w:r>
        <w:rPr>
          <w:spacing w:val="-2"/>
        </w:rPr>
        <w:t>市社科联</w:t>
      </w:r>
      <w:r>
        <w:rPr>
          <w:spacing w:val="-63"/>
        </w:rPr>
        <w:t>、</w:t>
      </w:r>
      <w:r>
        <w:rPr>
          <w:spacing w:val="-2"/>
        </w:rPr>
        <w:t>市社科</w:t>
      </w:r>
      <w:r>
        <w:rPr>
          <w:spacing w:val="-2"/>
        </w:rPr>
        <w:t>规划办负责解释。</w:t>
      </w:r>
    </w:p>
    <w:p>
      <w:pPr>
        <w:pStyle w:val="BodyText"/>
        <w:tabs>
          <w:tab w:pos="2674" w:val="left" w:leader="none"/>
        </w:tabs>
        <w:spacing w:line="271" w:lineRule="auto" w:before="26"/>
        <w:ind w:right="313" w:firstLine="638"/>
      </w:pPr>
      <w:r>
        <w:rPr>
          <w:rFonts w:ascii="Microsoft JhengHei" w:eastAsia="Microsoft JhengHei"/>
          <w:b/>
          <w:spacing w:val="-2"/>
        </w:rPr>
        <w:t>第三十五条</w:t>
      </w:r>
      <w:r>
        <w:rPr>
          <w:rFonts w:ascii="Microsoft JhengHei" w:eastAsia="Microsoft JhengHei"/>
          <w:b/>
        </w:rPr>
        <w:tab/>
      </w:r>
      <w:r>
        <w:rPr>
          <w:spacing w:val="-2"/>
        </w:rPr>
        <w:t>本办法自发布之日起施行</w:t>
      </w:r>
      <w:r>
        <w:rPr>
          <w:spacing w:val="-63"/>
        </w:rPr>
        <w:t>。</w:t>
      </w:r>
      <w:r>
        <w:rPr>
          <w:spacing w:val="-60"/>
        </w:rPr>
        <w:t>原</w:t>
      </w:r>
      <w:r>
        <w:rPr>
          <w:spacing w:val="-2"/>
        </w:rPr>
        <w:t>《北京市社会</w:t>
      </w:r>
      <w:r>
        <w:rPr>
          <w:spacing w:val="-2"/>
        </w:rPr>
        <w:t>科</w:t>
      </w:r>
      <w:r>
        <w:rPr>
          <w:spacing w:val="-6"/>
        </w:rPr>
        <w:t>学基金项目资金管理办法</w:t>
      </w:r>
      <w:r>
        <w:rPr>
          <w:spacing w:val="-55"/>
        </w:rPr>
        <w:t>》</w:t>
      </w:r>
      <w:r>
        <w:rPr>
          <w:spacing w:val="-6"/>
        </w:rPr>
        <w:t>（京财科文〔2016〕2879</w:t>
      </w:r>
      <w:r>
        <w:rPr>
          <w:spacing w:val="-68"/>
        </w:rPr>
        <w:t> </w:t>
      </w:r>
      <w:r>
        <w:rPr>
          <w:spacing w:val="-6"/>
        </w:rPr>
        <w:t>号）</w:t>
      </w:r>
      <w:r>
        <w:rPr>
          <w:spacing w:val="-55"/>
        </w:rPr>
        <w:t>、</w:t>
      </w:r>
      <w:r>
        <w:rPr>
          <w:spacing w:val="-6"/>
        </w:rPr>
        <w:t>《</w:t>
      </w:r>
      <w:r>
        <w:rPr>
          <w:spacing w:val="-10"/>
        </w:rPr>
        <w:t>北</w:t>
      </w:r>
    </w:p>
    <w:p>
      <w:pPr>
        <w:spacing w:after="0" w:line="271" w:lineRule="auto"/>
        <w:sectPr>
          <w:pgSz w:w="11910" w:h="16840"/>
          <w:pgMar w:header="0" w:footer="1002" w:top="1920" w:bottom="1200" w:left="1480" w:right="1160"/>
        </w:sectPr>
      </w:pPr>
    </w:p>
    <w:p>
      <w:pPr>
        <w:pStyle w:val="BodyText"/>
        <w:spacing w:line="324" w:lineRule="auto" w:before="96"/>
        <w:ind w:right="154"/>
      </w:pPr>
      <w:r>
        <w:rPr>
          <w:spacing w:val="-2"/>
        </w:rPr>
        <w:t>京市社会科学基金项目资金管理办法补充规定（2020</w:t>
      </w:r>
      <w:r>
        <w:rPr>
          <w:spacing w:val="-54"/>
        </w:rPr>
        <w:t> 年 </w:t>
      </w:r>
      <w:r>
        <w:rPr>
          <w:spacing w:val="-2"/>
        </w:rPr>
        <w:t>8</w:t>
      </w:r>
      <w:r>
        <w:rPr>
          <w:spacing w:val="-41"/>
        </w:rPr>
        <w:t> 月</w:t>
      </w:r>
      <w:r>
        <w:rPr>
          <w:spacing w:val="-2"/>
        </w:rPr>
        <w:t>）》</w:t>
      </w:r>
      <w:r>
        <w:rPr/>
        <w:t>同时废止。2021</w:t>
      </w:r>
      <w:r>
        <w:rPr>
          <w:spacing w:val="-6"/>
        </w:rPr>
        <w:t> 年及以后年度立项的北京社科基金项目适用本</w:t>
      </w:r>
      <w:r>
        <w:rPr>
          <w:spacing w:val="-4"/>
        </w:rPr>
        <w:t>办法。</w:t>
      </w:r>
    </w:p>
    <w:sectPr>
      <w:pgSz w:w="11910" w:h="16840"/>
      <w:pgMar w:header="0" w:footer="1002" w:top="1920" w:bottom="1200" w:left="148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w:altName w:val="Lucida Sans"/>
    <w:charset w:val="0"/>
    <w:family w:val="swiss"/>
    <w:pitch w:val="variable"/>
  </w:font>
  <w:font w:name="宋体">
    <w:altName w:val="宋体"/>
    <w:charset w:val="86"/>
    <w:family w:val="auto"/>
    <w:pitch w:val="variable"/>
  </w:font>
  <w:font w:name="黑体">
    <w:altName w:val="黑体"/>
    <w:charset w:val="86"/>
    <w:family w:val="modern"/>
    <w:pitch w:val="fixed"/>
  </w:font>
  <w:font w:name="Microsoft JhengHei">
    <w:altName w:val="Microsoft JhengHei"/>
    <w:charset w:val="0"/>
    <w:family w:val="swiss"/>
    <w:pitch w:val="variable"/>
  </w:font>
  <w:font w:name="仿宋">
    <w:altName w:val="仿宋"/>
    <w:charset w:val="86"/>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rPr>
        <w:sz w:val="20"/>
      </w:rPr>
    </w:pPr>
    <w:r>
      <w:rPr/>
      <mc:AlternateContent>
        <mc:Choice Requires="wps">
          <w:drawing>
            <wp:anchor distT="0" distB="0" distL="0" distR="0" allowOverlap="1" layoutInCell="1" locked="0" behindDoc="1" simplePos="0" relativeHeight="487488000">
              <wp:simplePos x="0" y="0"/>
              <wp:positionH relativeFrom="page">
                <wp:posOffset>3704844</wp:posOffset>
              </wp:positionH>
              <wp:positionV relativeFrom="page">
                <wp:posOffset>9915855</wp:posOffset>
              </wp:positionV>
              <wp:extent cx="233679" cy="1587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3679" cy="158750"/>
                      </a:xfrm>
                      <a:prstGeom prst="rect">
                        <a:avLst/>
                      </a:prstGeom>
                    </wps:spPr>
                    <wps:txbx>
                      <w:txbxContent>
                        <w:p>
                          <w:pPr>
                            <w:spacing w:before="13"/>
                            <w:ind w:left="60" w:right="0" w:firstLine="0"/>
                            <w:jc w:val="left"/>
                            <w:rPr>
                              <w:rFonts w:ascii="Lucida Sans"/>
                              <w:sz w:val="18"/>
                            </w:rPr>
                          </w:pPr>
                          <w:r>
                            <w:rPr>
                              <w:rFonts w:ascii="Lucida Sans"/>
                              <w:spacing w:val="-5"/>
                              <w:sz w:val="18"/>
                            </w:rPr>
                            <w:fldChar w:fldCharType="begin"/>
                          </w:r>
                          <w:r>
                            <w:rPr>
                              <w:rFonts w:ascii="Lucida Sans"/>
                              <w:spacing w:val="-5"/>
                              <w:sz w:val="18"/>
                            </w:rPr>
                            <w:instrText> PAGE </w:instrText>
                          </w:r>
                          <w:r>
                            <w:rPr>
                              <w:rFonts w:ascii="Lucida Sans"/>
                              <w:spacing w:val="-5"/>
                              <w:sz w:val="18"/>
                            </w:rPr>
                            <w:fldChar w:fldCharType="separate"/>
                          </w:r>
                          <w:r>
                            <w:rPr>
                              <w:rFonts w:ascii="Lucida Sans"/>
                              <w:spacing w:val="-5"/>
                              <w:sz w:val="18"/>
                            </w:rPr>
                            <w:t>10</w:t>
                          </w:r>
                          <w:r>
                            <w:rPr>
                              <w:rFonts w:ascii="Lucida Sans"/>
                              <w:spacing w:val="-5"/>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720001pt;margin-top:780.776001pt;width:18.4pt;height:12.5pt;mso-position-horizontal-relative:page;mso-position-vertical-relative:page;z-index:-15828480" type="#_x0000_t202" id="docshape1" filled="false" stroked="false">
              <v:textbox inset="0,0,0,0">
                <w:txbxContent>
                  <w:p>
                    <w:pPr>
                      <w:spacing w:before="13"/>
                      <w:ind w:left="60" w:right="0" w:firstLine="0"/>
                      <w:jc w:val="left"/>
                      <w:rPr>
                        <w:rFonts w:ascii="Lucida Sans"/>
                        <w:sz w:val="18"/>
                      </w:rPr>
                    </w:pPr>
                    <w:r>
                      <w:rPr>
                        <w:rFonts w:ascii="Lucida Sans"/>
                        <w:spacing w:val="-5"/>
                        <w:sz w:val="18"/>
                      </w:rPr>
                      <w:fldChar w:fldCharType="begin"/>
                    </w:r>
                    <w:r>
                      <w:rPr>
                        <w:rFonts w:ascii="Lucida Sans"/>
                        <w:spacing w:val="-5"/>
                        <w:sz w:val="18"/>
                      </w:rPr>
                      <w:instrText> PAGE </w:instrText>
                    </w:r>
                    <w:r>
                      <w:rPr>
                        <w:rFonts w:ascii="Lucida Sans"/>
                        <w:spacing w:val="-5"/>
                        <w:sz w:val="18"/>
                      </w:rPr>
                      <w:fldChar w:fldCharType="separate"/>
                    </w:r>
                    <w:r>
                      <w:rPr>
                        <w:rFonts w:ascii="Lucida Sans"/>
                        <w:spacing w:val="-5"/>
                        <w:sz w:val="18"/>
                      </w:rPr>
                      <w:t>10</w:t>
                    </w:r>
                    <w:r>
                      <w:rPr>
                        <w:rFonts w:ascii="Lucida Sans"/>
                        <w:spacing w:val="-5"/>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8" w:hanging="329"/>
        <w:jc w:val="left"/>
      </w:pPr>
      <w:rPr>
        <w:rFonts w:hint="default" w:ascii="宋体" w:hAnsi="宋体" w:eastAsia="宋体" w:cs="宋体"/>
        <w:b w:val="0"/>
        <w:bCs w:val="0"/>
        <w:i w:val="0"/>
        <w:iCs w:val="0"/>
        <w:spacing w:val="-2"/>
        <w:w w:val="99"/>
        <w:sz w:val="30"/>
        <w:szCs w:val="30"/>
        <w:lang w:val="en-US" w:eastAsia="zh-CN" w:bidi="ar-SA"/>
      </w:rPr>
    </w:lvl>
    <w:lvl w:ilvl="1">
      <w:start w:val="0"/>
      <w:numFmt w:val="bullet"/>
      <w:lvlText w:val="•"/>
      <w:lvlJc w:val="left"/>
      <w:pPr>
        <w:ind w:left="1016" w:hanging="329"/>
      </w:pPr>
      <w:rPr>
        <w:rFonts w:hint="default"/>
        <w:lang w:val="en-US" w:eastAsia="zh-CN" w:bidi="ar-SA"/>
      </w:rPr>
    </w:lvl>
    <w:lvl w:ilvl="2">
      <w:start w:val="0"/>
      <w:numFmt w:val="bullet"/>
      <w:lvlText w:val="•"/>
      <w:lvlJc w:val="left"/>
      <w:pPr>
        <w:ind w:left="1933" w:hanging="329"/>
      </w:pPr>
      <w:rPr>
        <w:rFonts w:hint="default"/>
        <w:lang w:val="en-US" w:eastAsia="zh-CN" w:bidi="ar-SA"/>
      </w:rPr>
    </w:lvl>
    <w:lvl w:ilvl="3">
      <w:start w:val="0"/>
      <w:numFmt w:val="bullet"/>
      <w:lvlText w:val="•"/>
      <w:lvlJc w:val="left"/>
      <w:pPr>
        <w:ind w:left="2849" w:hanging="329"/>
      </w:pPr>
      <w:rPr>
        <w:rFonts w:hint="default"/>
        <w:lang w:val="en-US" w:eastAsia="zh-CN" w:bidi="ar-SA"/>
      </w:rPr>
    </w:lvl>
    <w:lvl w:ilvl="4">
      <w:start w:val="0"/>
      <w:numFmt w:val="bullet"/>
      <w:lvlText w:val="•"/>
      <w:lvlJc w:val="left"/>
      <w:pPr>
        <w:ind w:left="3766" w:hanging="329"/>
      </w:pPr>
      <w:rPr>
        <w:rFonts w:hint="default"/>
        <w:lang w:val="en-US" w:eastAsia="zh-CN" w:bidi="ar-SA"/>
      </w:rPr>
    </w:lvl>
    <w:lvl w:ilvl="5">
      <w:start w:val="0"/>
      <w:numFmt w:val="bullet"/>
      <w:lvlText w:val="•"/>
      <w:lvlJc w:val="left"/>
      <w:pPr>
        <w:ind w:left="4683" w:hanging="329"/>
      </w:pPr>
      <w:rPr>
        <w:rFonts w:hint="default"/>
        <w:lang w:val="en-US" w:eastAsia="zh-CN" w:bidi="ar-SA"/>
      </w:rPr>
    </w:lvl>
    <w:lvl w:ilvl="6">
      <w:start w:val="0"/>
      <w:numFmt w:val="bullet"/>
      <w:lvlText w:val="•"/>
      <w:lvlJc w:val="left"/>
      <w:pPr>
        <w:ind w:left="5599" w:hanging="329"/>
      </w:pPr>
      <w:rPr>
        <w:rFonts w:hint="default"/>
        <w:lang w:val="en-US" w:eastAsia="zh-CN" w:bidi="ar-SA"/>
      </w:rPr>
    </w:lvl>
    <w:lvl w:ilvl="7">
      <w:start w:val="0"/>
      <w:numFmt w:val="bullet"/>
      <w:lvlText w:val="•"/>
      <w:lvlJc w:val="left"/>
      <w:pPr>
        <w:ind w:left="6516" w:hanging="329"/>
      </w:pPr>
      <w:rPr>
        <w:rFonts w:hint="default"/>
        <w:lang w:val="en-US" w:eastAsia="zh-CN" w:bidi="ar-SA"/>
      </w:rPr>
    </w:lvl>
    <w:lvl w:ilvl="8">
      <w:start w:val="0"/>
      <w:numFmt w:val="bullet"/>
      <w:lvlText w:val="•"/>
      <w:lvlJc w:val="left"/>
      <w:pPr>
        <w:ind w:left="7432" w:hanging="329"/>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08" w:right="311"/>
    </w:pPr>
    <w:rPr>
      <w:rFonts w:ascii="宋体" w:hAnsi="宋体" w:eastAsia="宋体" w:cs="宋体"/>
      <w:sz w:val="32"/>
      <w:szCs w:val="32"/>
      <w:lang w:val="en-US" w:eastAsia="zh-CN" w:bidi="ar-SA"/>
    </w:rPr>
  </w:style>
  <w:style w:styleId="Title" w:type="paragraph">
    <w:name w:val="Title"/>
    <w:basedOn w:val="Normal"/>
    <w:uiPriority w:val="1"/>
    <w:qFormat/>
    <w:pPr>
      <w:spacing w:before="11"/>
      <w:ind w:left="2" w:right="207"/>
      <w:jc w:val="center"/>
    </w:pPr>
    <w:rPr>
      <w:rFonts w:ascii="宋体" w:hAnsi="宋体" w:eastAsia="宋体" w:cs="宋体"/>
      <w:sz w:val="44"/>
      <w:szCs w:val="44"/>
      <w:lang w:val="en-US" w:eastAsia="zh-CN" w:bidi="ar-SA"/>
    </w:rPr>
  </w:style>
  <w:style w:styleId="ListParagraph" w:type="paragraph">
    <w:name w:val="List Paragraph"/>
    <w:basedOn w:val="Normal"/>
    <w:uiPriority w:val="1"/>
    <w:qFormat/>
    <w:pPr>
      <w:ind w:left="108" w:right="313" w:firstLine="638"/>
    </w:pPr>
    <w:rPr>
      <w:rFonts w:ascii="宋体" w:hAnsi="宋体" w:eastAsia="宋体" w:cs="宋体"/>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dc:creator>
  <dc:description/>
  <dcterms:created xsi:type="dcterms:W3CDTF">2024-06-04T06:43:34Z</dcterms:created>
  <dcterms:modified xsi:type="dcterms:W3CDTF">2024-06-04T06:43:34Z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WPS 文字</vt:lpwstr>
  </property>
  <property fmtid="{D5CDD505-2E9C-101B-9397-08002B2CF9AE}" pid="4" name="LastSaved">
    <vt:filetime>2024-06-04T00:00:00Z</vt:filetime>
  </property>
  <property fmtid="{D5CDD505-2E9C-101B-9397-08002B2CF9AE}" pid="5" name="SourceModified">
    <vt:lpwstr>D:20220602122707+04'27'</vt:lpwstr>
  </property>
</Properties>
</file>