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07"/>
        <w:ind w:left="0"/>
        <w:rPr>
          <w:rFonts w:ascii="Times New Roman"/>
          <w:sz w:val="44"/>
        </w:rPr>
      </w:pPr>
    </w:p>
    <w:p>
      <w:pPr>
        <w:pStyle w:val="Title"/>
      </w:pPr>
      <w:r>
        <w:rPr>
          <w:spacing w:val="-5"/>
        </w:rPr>
        <w:t>北京市社会科学基金决策咨询项目实施办法</w:t>
      </w:r>
    </w:p>
    <w:p>
      <w:pPr>
        <w:pStyle w:val="Title"/>
        <w:spacing w:before="8"/>
      </w:pPr>
      <w:r>
        <w:rPr>
          <w:spacing w:val="-4"/>
        </w:rPr>
        <w:t>（修订</w:t>
      </w:r>
      <w:r>
        <w:rPr>
          <w:spacing w:val="-10"/>
        </w:rPr>
        <w:t>）</w:t>
      </w:r>
    </w:p>
    <w:p>
      <w:pPr>
        <w:pStyle w:val="BodyText"/>
        <w:spacing w:before="117"/>
        <w:ind w:left="2" w:right="287"/>
        <w:jc w:val="center"/>
        <w:rPr>
          <w:rFonts w:ascii="宋体" w:eastAsia="宋体"/>
        </w:rPr>
      </w:pPr>
      <w:r>
        <w:rPr>
          <w:rFonts w:ascii="宋体" w:eastAsia="宋体"/>
          <w:spacing w:val="-4"/>
        </w:rPr>
        <w:t>（京社科联、社科规划办发〔</w:t>
      </w:r>
      <w:r>
        <w:rPr>
          <w:rFonts w:ascii="Times New Roman" w:eastAsia="Times New Roman"/>
          <w:spacing w:val="-4"/>
        </w:rPr>
        <w:t>2024</w:t>
      </w:r>
      <w:r>
        <w:rPr>
          <w:rFonts w:ascii="宋体" w:eastAsia="宋体"/>
          <w:spacing w:val="-4"/>
        </w:rPr>
        <w:t>〕</w:t>
      </w:r>
      <w:r>
        <w:rPr>
          <w:rFonts w:ascii="Times New Roman" w:eastAsia="Times New Roman"/>
          <w:spacing w:val="-4"/>
        </w:rPr>
        <w:t>9</w:t>
      </w:r>
      <w:r>
        <w:rPr>
          <w:rFonts w:ascii="宋体" w:eastAsia="宋体"/>
          <w:spacing w:val="-4"/>
        </w:rPr>
        <w:t>号</w:t>
      </w:r>
      <w:r>
        <w:rPr>
          <w:rFonts w:ascii="宋体" w:eastAsia="宋体"/>
          <w:spacing w:val="-10"/>
        </w:rPr>
        <w:t>）</w:t>
      </w:r>
    </w:p>
    <w:p>
      <w:pPr>
        <w:pStyle w:val="BodyText"/>
        <w:ind w:left="0"/>
        <w:rPr>
          <w:rFonts w:ascii="宋体"/>
        </w:rPr>
      </w:pPr>
    </w:p>
    <w:p>
      <w:pPr>
        <w:pStyle w:val="BodyText"/>
        <w:spacing w:before="48"/>
        <w:ind w:left="0"/>
        <w:rPr>
          <w:rFonts w:ascii="宋体"/>
        </w:rPr>
      </w:pPr>
    </w:p>
    <w:p>
      <w:pPr>
        <w:pStyle w:val="BodyText"/>
        <w:ind w:left="0" w:right="287"/>
        <w:jc w:val="center"/>
        <w:rPr>
          <w:rFonts w:ascii="黑体" w:eastAsia="黑体"/>
        </w:rPr>
      </w:pPr>
      <w:r>
        <w:rPr>
          <w:rFonts w:ascii="黑体" w:eastAsia="黑体"/>
        </w:rPr>
        <w:t>第一章</w:t>
      </w:r>
      <w:r>
        <w:rPr>
          <w:rFonts w:ascii="黑体" w:eastAsia="黑体"/>
          <w:spacing w:val="75"/>
          <w:w w:val="150"/>
        </w:rPr>
        <w:t> </w:t>
      </w:r>
      <w:r>
        <w:rPr>
          <w:rFonts w:ascii="黑体" w:eastAsia="黑体"/>
        </w:rPr>
        <w:t>总</w:t>
      </w:r>
      <w:r>
        <w:rPr>
          <w:rFonts w:ascii="黑体" w:eastAsia="黑体"/>
          <w:spacing w:val="74"/>
          <w:w w:val="150"/>
        </w:rPr>
        <w:t> </w:t>
      </w:r>
      <w:r>
        <w:rPr>
          <w:rFonts w:ascii="黑体" w:eastAsia="黑体"/>
          <w:spacing w:val="-10"/>
        </w:rPr>
        <w:t>则</w:t>
      </w:r>
    </w:p>
    <w:p>
      <w:pPr>
        <w:pStyle w:val="BodyText"/>
        <w:spacing w:line="324" w:lineRule="auto" w:before="299"/>
        <w:ind w:right="234" w:firstLine="638"/>
      </w:pPr>
      <w:r>
        <w:rPr>
          <w:b/>
          <w:spacing w:val="20"/>
        </w:rPr>
        <w:t>第一条 </w:t>
      </w:r>
      <w:r>
        <w:rPr>
          <w:spacing w:val="-7"/>
        </w:rPr>
        <w:t>为规范北京市社会科学基金决策咨询项目</w:t>
      </w:r>
      <w:r>
        <w:rPr/>
        <w:t>（以下简</w:t>
      </w:r>
      <w:r>
        <w:rPr>
          <w:spacing w:val="-20"/>
        </w:rPr>
        <w:t>称“决策咨询项目”</w:t>
      </w:r>
      <w:r>
        <w:rPr>
          <w:spacing w:val="-69"/>
        </w:rPr>
        <w:t>）</w:t>
      </w:r>
      <w:r>
        <w:rPr>
          <w:spacing w:val="-11"/>
        </w:rPr>
        <w:t>管理，提高项目研究质量和服务决策水平，</w:t>
      </w:r>
      <w:r>
        <w:rPr>
          <w:spacing w:val="-2"/>
        </w:rPr>
        <w:t>特制定本办法。</w:t>
      </w:r>
    </w:p>
    <w:p>
      <w:pPr>
        <w:pStyle w:val="BodyText"/>
        <w:spacing w:line="324" w:lineRule="auto"/>
        <w:ind w:right="234" w:firstLine="600"/>
      </w:pPr>
      <w:r>
        <w:rPr>
          <w:b/>
          <w:spacing w:val="7"/>
          <w:w w:val="99"/>
        </w:rPr>
        <w:t>第二条</w:t>
      </w:r>
      <w:r>
        <w:rPr>
          <w:b/>
          <w:spacing w:val="14"/>
        </w:rPr>
        <w:t>  </w:t>
      </w:r>
      <w:r>
        <w:rPr>
          <w:spacing w:val="8"/>
          <w:w w:val="99"/>
        </w:rPr>
        <w:t>决策咨询项目研究坚持以习近平新时代中国特色</w:t>
      </w:r>
      <w:r>
        <w:rPr>
          <w:spacing w:val="-9"/>
          <w:w w:val="99"/>
        </w:rPr>
        <w:t>社会主义思想为指导，围绕“建设一个什么样的首都，怎样建设</w:t>
      </w:r>
      <w:r>
        <w:rPr>
          <w:spacing w:val="-19"/>
          <w:w w:val="99"/>
        </w:rPr>
        <w:t>首都”这一重大时代课题，聚焦首都城市“四个中心”战略定位、</w:t>
      </w:r>
      <w:r>
        <w:rPr>
          <w:spacing w:val="-4"/>
          <w:w w:val="99"/>
        </w:rPr>
        <w:t>京津冀协同发展、超大城市治理、城市副中心和雄安新区建设、</w:t>
      </w:r>
      <w:r>
        <w:rPr>
          <w:spacing w:val="6"/>
          <w:w w:val="99"/>
        </w:rPr>
        <w:t>首都高质量发展等重大现实问题和市委、市政府决策亟需的热</w:t>
      </w:r>
      <w:r>
        <w:rPr>
          <w:w w:val="99"/>
        </w:rPr>
        <w:t>点、难点问题，加强应用对策研究，着力推出有实践指导意义、有决策参考价值的研究成果。</w:t>
      </w:r>
    </w:p>
    <w:p>
      <w:pPr>
        <w:pStyle w:val="BodyText"/>
        <w:spacing w:line="324" w:lineRule="auto"/>
        <w:ind w:right="389" w:firstLine="600"/>
        <w:jc w:val="both"/>
      </w:pPr>
      <w:r>
        <w:rPr>
          <w:b/>
          <w:spacing w:val="5"/>
        </w:rPr>
        <w:t>第三条 </w:t>
      </w:r>
      <w:r>
        <w:rPr/>
        <w:t>决策咨询项目主要面向北京市哲学社会科学研究</w:t>
      </w:r>
      <w:r>
        <w:rPr>
          <w:spacing w:val="-6"/>
        </w:rPr>
        <w:t>基地（以下简称“研究基地”）组织实施，适度向没有研究基地</w:t>
      </w:r>
      <w:r>
        <w:rPr>
          <w:spacing w:val="-2"/>
        </w:rPr>
        <w:t>的北京地区高校开放。</w:t>
      </w:r>
    </w:p>
    <w:p>
      <w:pPr>
        <w:pStyle w:val="BodyText"/>
        <w:spacing w:line="324" w:lineRule="auto"/>
        <w:ind w:right="389" w:firstLine="640"/>
        <w:jc w:val="both"/>
      </w:pPr>
      <w:r>
        <w:rPr>
          <w:b/>
          <w:spacing w:val="12"/>
        </w:rPr>
        <w:t>第四条 </w:t>
      </w:r>
      <w:r>
        <w:rPr/>
        <w:t>决策咨询项目分为重大项目、重点项目和一般项</w:t>
      </w:r>
      <w:r>
        <w:rPr>
          <w:spacing w:val="-2"/>
        </w:rPr>
        <w:t>目，完成时限一般不超过1年（从正式立项之日开始计算）。</w:t>
      </w:r>
    </w:p>
    <w:p>
      <w:pPr>
        <w:spacing w:after="0" w:line="324" w:lineRule="auto"/>
        <w:jc w:val="both"/>
        <w:sectPr>
          <w:footerReference w:type="default" r:id="rId5"/>
          <w:type w:val="continuous"/>
          <w:pgSz w:w="11910" w:h="16840"/>
          <w:pgMar w:header="0" w:footer="1442" w:top="1920" w:bottom="1640" w:left="1480" w:right="1080"/>
          <w:pgNumType w:start="1"/>
        </w:sectPr>
      </w:pPr>
    </w:p>
    <w:p>
      <w:pPr>
        <w:pStyle w:val="BodyText"/>
        <w:spacing w:line="324" w:lineRule="auto" w:before="283"/>
        <w:ind w:right="276" w:firstLine="600"/>
      </w:pPr>
      <w:r>
        <w:rPr>
          <w:b/>
          <w:spacing w:val="20"/>
        </w:rPr>
        <w:t>第五条 </w:t>
      </w:r>
      <w:r>
        <w:rPr>
          <w:spacing w:val="-7"/>
        </w:rPr>
        <w:t>决策咨询项目实行两级管理。北京市社会科学界联</w:t>
      </w:r>
      <w:r>
        <w:rPr>
          <w:spacing w:val="-2"/>
        </w:rPr>
        <w:t>合会、北京市哲学社会科学规划办公室（以下简称“市社科联、市社科规划办”）负责决策咨询项目的制度制定、组织实施和指</w:t>
      </w:r>
      <w:r>
        <w:rPr>
          <w:spacing w:val="-13"/>
        </w:rPr>
        <w:t>导管理工作；研究基地依托单位和没有研究基地的北京地区高校</w:t>
      </w:r>
      <w:r>
        <w:rPr>
          <w:spacing w:val="-8"/>
        </w:rPr>
        <w:t>作为决策咨询项目申请和管理的责任单位，负责承担科研信誉保</w:t>
      </w:r>
      <w:r>
        <w:rPr>
          <w:spacing w:val="-14"/>
        </w:rPr>
        <w:t>证，并由其科研管理部门负责本单位承担的决策咨询项目的日常</w:t>
      </w:r>
      <w:r>
        <w:rPr>
          <w:spacing w:val="-2"/>
        </w:rPr>
        <w:t>管理工作。</w:t>
      </w:r>
    </w:p>
    <w:p>
      <w:pPr>
        <w:pStyle w:val="BodyText"/>
        <w:spacing w:before="144"/>
        <w:ind w:left="2" w:right="287"/>
        <w:jc w:val="center"/>
        <w:rPr>
          <w:rFonts w:ascii="黑体" w:eastAsia="黑体"/>
        </w:rPr>
      </w:pPr>
      <w:r>
        <w:rPr>
          <w:rFonts w:ascii="黑体" w:eastAsia="黑体"/>
        </w:rPr>
        <w:t>第二章</w:t>
      </w:r>
      <w:r>
        <w:rPr>
          <w:rFonts w:ascii="黑体" w:eastAsia="黑体"/>
          <w:spacing w:val="63"/>
          <w:w w:val="150"/>
        </w:rPr>
        <w:t> </w:t>
      </w:r>
      <w:r>
        <w:rPr>
          <w:rFonts w:ascii="黑体" w:eastAsia="黑体"/>
          <w:spacing w:val="-3"/>
        </w:rPr>
        <w:t>申报立项</w:t>
      </w:r>
    </w:p>
    <w:p>
      <w:pPr>
        <w:pStyle w:val="BodyText"/>
        <w:spacing w:line="324" w:lineRule="auto" w:before="299"/>
        <w:ind w:right="391" w:firstLine="600"/>
        <w:jc w:val="both"/>
      </w:pPr>
      <w:r>
        <w:rPr>
          <w:b/>
        </w:rPr>
        <w:t>第六条 </w:t>
      </w:r>
      <w:r>
        <w:rPr>
          <w:spacing w:val="-10"/>
        </w:rPr>
        <w:t>市社科联、市社科规划办围绕市委市政府年度重点</w:t>
      </w:r>
      <w:r>
        <w:rPr>
          <w:spacing w:val="-6"/>
        </w:rPr>
        <w:t>任务，经征集选题、专家学者和相关决策部门论证，形成决策咨</w:t>
      </w:r>
      <w:r>
        <w:rPr>
          <w:spacing w:val="-2"/>
        </w:rPr>
        <w:t>询项目年度课题指南。</w:t>
      </w:r>
    </w:p>
    <w:p>
      <w:pPr>
        <w:pStyle w:val="BodyText"/>
        <w:spacing w:line="411" w:lineRule="exact"/>
        <w:ind w:left="708"/>
        <w:jc w:val="both"/>
      </w:pPr>
      <w:r>
        <w:rPr>
          <w:b/>
        </w:rPr>
        <w:t>第七条</w:t>
      </w:r>
      <w:r>
        <w:rPr>
          <w:b/>
          <w:spacing w:val="32"/>
          <w:w w:val="150"/>
        </w:rPr>
        <w:t> </w:t>
      </w:r>
      <w:r>
        <w:rPr>
          <w:spacing w:val="-1"/>
        </w:rPr>
        <w:t>决策咨询项目申请人应具备以下条件：</w:t>
      </w:r>
    </w:p>
    <w:p>
      <w:pPr>
        <w:pStyle w:val="BodyText"/>
        <w:spacing w:line="321" w:lineRule="auto" w:before="146"/>
        <w:ind w:right="393" w:firstLine="600"/>
      </w:pPr>
      <w:r>
        <w:rPr>
          <w:spacing w:val="-4"/>
        </w:rPr>
        <w:t>（一）遵守中华人民共和国宪法和法律，拥护中国共产党领</w:t>
      </w:r>
      <w:r>
        <w:rPr>
          <w:spacing w:val="-2"/>
        </w:rPr>
        <w:t>导和社会主义制度；</w:t>
      </w:r>
    </w:p>
    <w:p>
      <w:pPr>
        <w:pStyle w:val="BodyText"/>
        <w:spacing w:before="3"/>
        <w:ind w:left="708"/>
      </w:pPr>
      <w:r>
        <w:rPr>
          <w:spacing w:val="-4"/>
        </w:rPr>
        <w:t>（二）</w:t>
      </w:r>
      <w:r>
        <w:rPr>
          <w:spacing w:val="-5"/>
        </w:rPr>
        <w:t>具备独立开展研究的能力，承担实质性研究工作；</w:t>
      </w:r>
    </w:p>
    <w:p>
      <w:pPr>
        <w:pStyle w:val="BodyText"/>
        <w:spacing w:line="321" w:lineRule="auto" w:before="146"/>
        <w:ind w:right="276" w:firstLine="600"/>
      </w:pPr>
      <w:r>
        <w:rPr>
          <w:spacing w:val="-2"/>
        </w:rPr>
        <w:t>（三）申请重大项目须具有正高级专业技术职称；申请重点项目、一般项目须具有副高级及以上专业技术职称或博士学位。</w:t>
      </w:r>
    </w:p>
    <w:p>
      <w:pPr>
        <w:pStyle w:val="BodyText"/>
        <w:spacing w:line="324" w:lineRule="auto" w:before="4"/>
        <w:ind w:right="391" w:firstLine="600"/>
        <w:jc w:val="both"/>
      </w:pPr>
      <w:r>
        <w:rPr>
          <w:b/>
        </w:rPr>
        <w:t>第八条 </w:t>
      </w:r>
      <w:r>
        <w:rPr>
          <w:spacing w:val="-5"/>
        </w:rPr>
        <w:t>申请人一次只能申报一个决策咨询项目。承担北京</w:t>
      </w:r>
      <w:r>
        <w:rPr>
          <w:spacing w:val="-10"/>
        </w:rPr>
        <w:t>市社会科学基金项目尚未结项的，项目负责人不能申报新的决策</w:t>
      </w:r>
      <w:r>
        <w:rPr>
          <w:spacing w:val="-2"/>
        </w:rPr>
        <w:t>咨询项目。</w:t>
      </w:r>
    </w:p>
    <w:p>
      <w:pPr>
        <w:pStyle w:val="BodyText"/>
        <w:spacing w:line="324" w:lineRule="auto"/>
        <w:ind w:right="391" w:firstLine="600"/>
        <w:jc w:val="both"/>
      </w:pPr>
      <w:r>
        <w:rPr>
          <w:b/>
        </w:rPr>
        <w:t>第九条 </w:t>
      </w:r>
      <w:r>
        <w:rPr>
          <w:spacing w:val="-5"/>
        </w:rPr>
        <w:t>决策咨询项目立项主要采取申报评审方式，按组织</w:t>
      </w:r>
      <w:r>
        <w:rPr>
          <w:spacing w:val="-2"/>
        </w:rPr>
        <w:t>申报、资格审查、专家评审和最终审批的程序进行。</w:t>
      </w:r>
    </w:p>
    <w:p>
      <w:pPr>
        <w:spacing w:after="0" w:line="324" w:lineRule="auto"/>
        <w:jc w:val="both"/>
        <w:sectPr>
          <w:pgSz w:w="11910" w:h="16840"/>
          <w:pgMar w:header="0" w:footer="1442" w:top="1920" w:bottom="1640" w:left="1480" w:right="1080"/>
        </w:sectPr>
      </w:pPr>
    </w:p>
    <w:p>
      <w:pPr>
        <w:pStyle w:val="BodyText"/>
        <w:spacing w:line="324" w:lineRule="auto" w:before="283"/>
        <w:ind w:right="230" w:firstLine="600"/>
      </w:pPr>
      <w:r>
        <w:rPr>
          <w:spacing w:val="-2"/>
        </w:rPr>
        <w:t>（一</w:t>
      </w:r>
      <w:r>
        <w:rPr>
          <w:spacing w:val="-99"/>
        </w:rPr>
        <w:t>）</w:t>
      </w:r>
      <w:r>
        <w:rPr>
          <w:spacing w:val="-26"/>
        </w:rPr>
        <w:t>组织申报。市社科联、市社科规划办发布《申报公告》，</w:t>
      </w:r>
      <w:r>
        <w:rPr>
          <w:spacing w:val="-8"/>
        </w:rPr>
        <w:t>申请人按要求填报项目申请书。以研究基地名义申报的，先经所</w:t>
      </w:r>
      <w:r>
        <w:rPr>
          <w:spacing w:val="-11"/>
        </w:rPr>
        <w:t>在研究基地学术委员会初审，再由研究基地依托单位科研管理部</w:t>
      </w:r>
      <w:r>
        <w:rPr>
          <w:spacing w:val="-12"/>
        </w:rPr>
        <w:t>门审核通过；其他没有研究基地的北京地区高校申报的，由单位</w:t>
      </w:r>
      <w:r>
        <w:rPr>
          <w:spacing w:val="-2"/>
        </w:rPr>
        <w:t>科研管理部门审核通过。</w:t>
      </w:r>
    </w:p>
    <w:p>
      <w:pPr>
        <w:pStyle w:val="BodyText"/>
        <w:spacing w:line="324" w:lineRule="auto"/>
        <w:ind w:right="391" w:firstLine="600"/>
        <w:jc w:val="both"/>
      </w:pPr>
      <w:r>
        <w:rPr>
          <w:spacing w:val="-4"/>
        </w:rPr>
        <w:t>（二）资格审查、专家评审。市社科联、市社科规划办对申</w:t>
      </w:r>
      <w:r>
        <w:rPr>
          <w:spacing w:val="-6"/>
        </w:rPr>
        <w:t>报材料进行资格审查，合格的申报材料，组织专家进行评审。评</w:t>
      </w:r>
      <w:r>
        <w:rPr>
          <w:spacing w:val="-12"/>
        </w:rPr>
        <w:t>审工作严格遵守回避原则，当年申报决策咨询项目的负责人不能</w:t>
      </w:r>
      <w:r>
        <w:rPr>
          <w:spacing w:val="-2"/>
        </w:rPr>
        <w:t>参加本年度决策咨询项目评审。</w:t>
      </w:r>
    </w:p>
    <w:p>
      <w:pPr>
        <w:pStyle w:val="BodyText"/>
        <w:spacing w:line="324" w:lineRule="auto"/>
        <w:ind w:right="393" w:firstLine="600"/>
        <w:jc w:val="both"/>
      </w:pPr>
      <w:r>
        <w:rPr>
          <w:spacing w:val="-4"/>
        </w:rPr>
        <w:t>（三）最终审批。市社科联、市社科规划办根据专家评审意</w:t>
      </w:r>
      <w:r>
        <w:rPr>
          <w:spacing w:val="-13"/>
        </w:rPr>
        <w:t>见，对专家建议立项项目和资助金额进行复核，提出拟立项项目</w:t>
      </w:r>
      <w:r>
        <w:rPr>
          <w:spacing w:val="-6"/>
        </w:rPr>
        <w:t>名单并进行公示。在公示期内，凡对拟立项项目有异议的，可以向市社科联、市社科规划办提出实名书面意见。市社科联、市社</w:t>
      </w:r>
      <w:r>
        <w:rPr>
          <w:spacing w:val="-2"/>
        </w:rPr>
        <w:t>科规划办经调查核实后予以回复。</w:t>
      </w:r>
    </w:p>
    <w:p>
      <w:pPr>
        <w:pStyle w:val="BodyText"/>
        <w:spacing w:line="324" w:lineRule="auto"/>
        <w:ind w:right="391" w:firstLine="600"/>
        <w:jc w:val="both"/>
      </w:pPr>
      <w:r>
        <w:rPr>
          <w:spacing w:val="-4"/>
        </w:rPr>
        <w:t>获准立项的项目，由市社科联、市社科规划办向责任单位和</w:t>
      </w:r>
      <w:r>
        <w:rPr>
          <w:spacing w:val="-10"/>
        </w:rPr>
        <w:t>项目负责人下达立项通知。接到立项通知后，项目负责人应当在</w:t>
      </w:r>
      <w:r>
        <w:rPr>
          <w:spacing w:val="-6"/>
        </w:rPr>
        <w:t>规定时间内，按照批准的资助金额，科学合理、实事求是地编制</w:t>
      </w:r>
      <w:r>
        <w:rPr>
          <w:spacing w:val="-13"/>
        </w:rPr>
        <w:t>经费支出预算，由项目责任单位科研管理部门和财务管理部门审</w:t>
      </w:r>
      <w:r>
        <w:rPr>
          <w:spacing w:val="-6"/>
        </w:rPr>
        <w:t>核后，报市社科联、市社科规划办批准。无特殊情况，逾期不报</w:t>
      </w:r>
      <w:r>
        <w:rPr>
          <w:spacing w:val="-2"/>
        </w:rPr>
        <w:t>视为自动放弃立项资格。</w:t>
      </w:r>
    </w:p>
    <w:p>
      <w:pPr>
        <w:pStyle w:val="BodyText"/>
        <w:spacing w:line="324" w:lineRule="auto"/>
        <w:ind w:right="393" w:firstLine="600"/>
        <w:jc w:val="both"/>
      </w:pPr>
      <w:r>
        <w:rPr>
          <w:b/>
          <w:spacing w:val="5"/>
        </w:rPr>
        <w:t>第十条 </w:t>
      </w:r>
      <w:r>
        <w:rPr/>
        <w:t>对于市委市政府和相关决策部门紧急交办的研究</w:t>
      </w:r>
      <w:r>
        <w:rPr>
          <w:spacing w:val="-2"/>
        </w:rPr>
        <w:t>任务可采取委托方式立项。</w:t>
      </w:r>
    </w:p>
    <w:p>
      <w:pPr>
        <w:spacing w:after="0" w:line="324" w:lineRule="auto"/>
        <w:jc w:val="both"/>
        <w:sectPr>
          <w:pgSz w:w="11910" w:h="16840"/>
          <w:pgMar w:header="0" w:footer="1442" w:top="1920" w:bottom="1640" w:left="1480" w:right="1080"/>
        </w:sectPr>
      </w:pPr>
    </w:p>
    <w:p>
      <w:pPr>
        <w:pStyle w:val="BodyText"/>
        <w:spacing w:line="321" w:lineRule="auto" w:before="283"/>
        <w:ind w:right="393" w:firstLine="600"/>
        <w:jc w:val="both"/>
      </w:pPr>
      <w:r>
        <w:rPr>
          <w:b/>
        </w:rPr>
        <w:t>第十一条 </w:t>
      </w:r>
      <w:r>
        <w:rPr>
          <w:spacing w:val="-5"/>
        </w:rPr>
        <w:t>对于研究基地研究人员自主开展研究，产出了对</w:t>
      </w:r>
      <w:r>
        <w:rPr>
          <w:spacing w:val="-8"/>
        </w:rPr>
        <w:t>国家和北京市有重要应用价值的研究成果，可采取后期认定方式</w:t>
      </w:r>
      <w:r>
        <w:rPr>
          <w:spacing w:val="-4"/>
        </w:rPr>
        <w:t>立项。</w:t>
      </w:r>
    </w:p>
    <w:p>
      <w:pPr>
        <w:pStyle w:val="BodyText"/>
        <w:spacing w:before="164"/>
        <w:ind w:left="2" w:right="287"/>
        <w:jc w:val="center"/>
        <w:rPr>
          <w:rFonts w:ascii="黑体" w:eastAsia="黑体"/>
        </w:rPr>
      </w:pPr>
      <w:r>
        <w:rPr>
          <w:rFonts w:ascii="黑体" w:eastAsia="黑体"/>
        </w:rPr>
        <w:t>第三章</w:t>
      </w:r>
      <w:r>
        <w:rPr>
          <w:rFonts w:ascii="黑体" w:eastAsia="黑体"/>
          <w:spacing w:val="63"/>
          <w:w w:val="150"/>
        </w:rPr>
        <w:t> </w:t>
      </w:r>
      <w:r>
        <w:rPr>
          <w:rFonts w:ascii="黑体" w:eastAsia="黑体"/>
          <w:spacing w:val="-3"/>
        </w:rPr>
        <w:t>资金管理</w:t>
      </w:r>
    </w:p>
    <w:p>
      <w:pPr>
        <w:pStyle w:val="BodyText"/>
        <w:spacing w:line="321" w:lineRule="auto" w:before="299"/>
        <w:ind w:right="391" w:firstLine="638"/>
        <w:jc w:val="both"/>
      </w:pPr>
      <w:r>
        <w:rPr>
          <w:b/>
        </w:rPr>
        <w:t>第十二条 </w:t>
      </w:r>
      <w:r>
        <w:rPr/>
        <w:t>决策咨询项目资金</w:t>
      </w:r>
      <w:r>
        <w:rPr>
          <w:rFonts w:ascii="宋体" w:eastAsia="宋体"/>
          <w:spacing w:val="-10"/>
        </w:rPr>
        <w:t>预算编报和资金使用管理，须</w:t>
      </w:r>
      <w:r>
        <w:rPr>
          <w:rFonts w:ascii="宋体" w:eastAsia="宋体"/>
          <w:spacing w:val="-2"/>
        </w:rPr>
        <w:t>严格遵守</w:t>
      </w:r>
      <w:r>
        <w:rPr>
          <w:spacing w:val="-11"/>
        </w:rPr>
        <w:t>《北京市社会科学基金项目资金管理办法》</w:t>
      </w:r>
      <w:r>
        <w:rPr>
          <w:spacing w:val="-2"/>
        </w:rPr>
        <w:t>（</w:t>
      </w:r>
      <w:r>
        <w:rPr>
          <w:spacing w:val="-4"/>
        </w:rPr>
        <w:t>京财科文</w:t>
      </w:r>
    </w:p>
    <w:p>
      <w:pPr>
        <w:pStyle w:val="BodyText"/>
        <w:spacing w:before="6"/>
        <w:jc w:val="both"/>
      </w:pPr>
      <w:r>
        <w:rPr>
          <w:spacing w:val="-4"/>
        </w:rPr>
        <w:t>〔2022〕1042</w:t>
      </w:r>
      <w:r>
        <w:rPr>
          <w:spacing w:val="-29"/>
        </w:rPr>
        <w:t> 号</w:t>
      </w:r>
      <w:r>
        <w:rPr>
          <w:spacing w:val="-4"/>
        </w:rPr>
        <w:t>）</w:t>
      </w:r>
      <w:r>
        <w:rPr>
          <w:spacing w:val="-6"/>
        </w:rPr>
        <w:t>相关规定。</w:t>
      </w:r>
    </w:p>
    <w:p>
      <w:pPr>
        <w:pStyle w:val="BodyText"/>
        <w:spacing w:line="324" w:lineRule="auto" w:before="143"/>
        <w:ind w:right="391" w:firstLine="643"/>
        <w:jc w:val="both"/>
      </w:pPr>
      <w:r>
        <w:rPr>
          <w:b/>
        </w:rPr>
        <w:t>第十三条 </w:t>
      </w:r>
      <w:r>
        <w:rPr>
          <w:spacing w:val="-11"/>
        </w:rPr>
        <w:t>项目资金由市社科联、市社科规划办统一向市财</w:t>
      </w:r>
      <w:r>
        <w:rPr>
          <w:spacing w:val="-6"/>
        </w:rPr>
        <w:t>政局申报，纳入市级预算项目库。市社科联、市社科规划办根据</w:t>
      </w:r>
      <w:r>
        <w:rPr>
          <w:spacing w:val="-2"/>
        </w:rPr>
        <w:t>市财政局的审批结果，将资金拨付给项目责任单位。</w:t>
      </w:r>
    </w:p>
    <w:p>
      <w:pPr>
        <w:pStyle w:val="BodyText"/>
        <w:spacing w:line="324" w:lineRule="auto"/>
        <w:ind w:right="393" w:firstLine="638"/>
        <w:jc w:val="both"/>
      </w:pPr>
      <w:r>
        <w:rPr>
          <w:b/>
        </w:rPr>
        <w:t>第十四条 </w:t>
      </w:r>
      <w:r>
        <w:rPr>
          <w:spacing w:val="-8"/>
        </w:rPr>
        <w:t>项目资金由项目责任单位统一管理。如项目有重</w:t>
      </w:r>
      <w:r>
        <w:rPr>
          <w:spacing w:val="-10"/>
        </w:rPr>
        <w:t>要合作单位且需给予资金支持的，在填报项目申请书及编制项目</w:t>
      </w:r>
      <w:r>
        <w:rPr>
          <w:spacing w:val="-12"/>
        </w:rPr>
        <w:t>预算时，须明确有关合作单位的研究任务与预算支出额度。预算</w:t>
      </w:r>
      <w:r>
        <w:rPr>
          <w:spacing w:val="-9"/>
        </w:rPr>
        <w:t>资金下达到项目责任单位后，按照项目立项时批准的额度，转拨</w:t>
      </w:r>
      <w:r>
        <w:rPr>
          <w:spacing w:val="-13"/>
        </w:rPr>
        <w:t>给有关合作单位。责任单位和合作单位提取的管理费不得超过已</w:t>
      </w:r>
      <w:r>
        <w:rPr>
          <w:spacing w:val="-2"/>
        </w:rPr>
        <w:t>核定的管理费总额。</w:t>
      </w:r>
    </w:p>
    <w:p>
      <w:pPr>
        <w:pStyle w:val="BodyText"/>
        <w:spacing w:line="321" w:lineRule="auto"/>
        <w:ind w:right="234" w:firstLine="643"/>
        <w:jc w:val="both"/>
      </w:pPr>
      <w:r>
        <w:rPr>
          <w:b/>
          <w:spacing w:val="13"/>
        </w:rPr>
        <w:t>第十五条  </w:t>
      </w:r>
      <w:r>
        <w:rPr/>
        <w:t>决策咨询项目资金分两期拨付。项目正式立项</w:t>
      </w:r>
      <w:r>
        <w:rPr>
          <w:spacing w:val="-36"/>
        </w:rPr>
        <w:t>后，拨付第一期 </w:t>
      </w:r>
      <w:r>
        <w:rPr>
          <w:spacing w:val="26"/>
        </w:rPr>
        <w:t>5</w:t>
      </w:r>
      <w:r>
        <w:rPr>
          <w:spacing w:val="29"/>
        </w:rPr>
        <w:t>0%</w:t>
      </w:r>
      <w:r>
        <w:rPr>
          <w:spacing w:val="-28"/>
        </w:rPr>
        <w:t>；完成项目开题后，下一年度拨付第二期 </w:t>
      </w:r>
      <w:r>
        <w:rPr>
          <w:spacing w:val="-8"/>
        </w:rPr>
        <w:t>50%</w:t>
      </w:r>
      <w:r>
        <w:rPr>
          <w:spacing w:val="-10"/>
        </w:rPr>
        <w:t>。</w:t>
      </w:r>
    </w:p>
    <w:p>
      <w:pPr>
        <w:pStyle w:val="BodyText"/>
        <w:spacing w:line="324" w:lineRule="auto"/>
        <w:ind w:right="117" w:firstLine="638"/>
      </w:pPr>
      <w:r>
        <w:rPr>
          <w:b/>
          <w:spacing w:val="1"/>
          <w:w w:val="99"/>
        </w:rPr>
        <w:t>第十六条</w:t>
      </w:r>
      <w:r>
        <w:rPr>
          <w:b/>
          <w:spacing w:val="-1"/>
        </w:rPr>
        <w:t>  </w:t>
      </w:r>
      <w:r>
        <w:rPr>
          <w:spacing w:val="-11"/>
          <w:w w:val="99"/>
        </w:rPr>
        <w:t>决策咨询项目终止的，已支出的项目资金由项目</w:t>
      </w:r>
      <w:r>
        <w:rPr>
          <w:spacing w:val="-10"/>
          <w:w w:val="99"/>
        </w:rPr>
        <w:t>责任单位财务部门出具《项目资金收支明细》</w:t>
      </w:r>
      <w:r>
        <w:rPr>
          <w:spacing w:val="2"/>
          <w:w w:val="99"/>
        </w:rPr>
        <w:t>（</w:t>
      </w:r>
      <w:r>
        <w:rPr>
          <w:w w:val="99"/>
        </w:rPr>
        <w:t>盖单位财务章</w:t>
      </w:r>
      <w:r>
        <w:rPr>
          <w:spacing w:val="-41"/>
          <w:w w:val="99"/>
        </w:rPr>
        <w:t>）</w:t>
      </w:r>
      <w:r>
        <w:rPr>
          <w:w w:val="99"/>
        </w:rPr>
        <w:t>，</w:t>
      </w:r>
      <w:r>
        <w:rPr>
          <w:spacing w:val="-8"/>
          <w:w w:val="99"/>
        </w:rPr>
        <w:t>项目结余资金按原渠道退回。项目撤销的，已拨项目资金全额按</w:t>
      </w:r>
      <w:r>
        <w:rPr>
          <w:spacing w:val="-3"/>
          <w:w w:val="99"/>
        </w:rPr>
        <w:t>原渠道退回。</w:t>
      </w:r>
    </w:p>
    <w:p>
      <w:pPr>
        <w:spacing w:after="0" w:line="324" w:lineRule="auto"/>
        <w:sectPr>
          <w:pgSz w:w="11910" w:h="16840"/>
          <w:pgMar w:header="0" w:footer="1442" w:top="1920" w:bottom="1640" w:left="1480" w:right="1080"/>
        </w:sectPr>
      </w:pPr>
    </w:p>
    <w:p>
      <w:pPr>
        <w:pStyle w:val="BodyText"/>
        <w:spacing w:line="321" w:lineRule="auto" w:before="283"/>
        <w:ind w:right="389" w:firstLine="640"/>
        <w:jc w:val="both"/>
        <w:rPr>
          <w:rFonts w:ascii="宋体" w:eastAsia="宋体"/>
        </w:rPr>
      </w:pPr>
      <w:r>
        <w:rPr>
          <w:b/>
          <w:spacing w:val="16"/>
        </w:rPr>
        <w:t>第十七条 </w:t>
      </w:r>
      <w:r>
        <w:rPr>
          <w:rFonts w:ascii="宋体" w:eastAsia="宋体"/>
        </w:rPr>
        <w:t>项目责任单位应统筹资源加大对决策咨询项目</w:t>
      </w:r>
      <w:r>
        <w:rPr>
          <w:rFonts w:ascii="宋体" w:eastAsia="宋体"/>
          <w:spacing w:val="-2"/>
        </w:rPr>
        <w:t>的支持力度。</w:t>
      </w:r>
    </w:p>
    <w:p>
      <w:pPr>
        <w:pStyle w:val="BodyText"/>
        <w:spacing w:before="160"/>
        <w:ind w:left="2" w:right="287"/>
        <w:jc w:val="center"/>
        <w:rPr>
          <w:rFonts w:ascii="黑体" w:eastAsia="黑体"/>
        </w:rPr>
      </w:pPr>
      <w:r>
        <w:rPr>
          <w:rFonts w:ascii="黑体" w:eastAsia="黑体"/>
        </w:rPr>
        <w:t>第四章</w:t>
      </w:r>
      <w:r>
        <w:rPr>
          <w:rFonts w:ascii="黑体" w:eastAsia="黑体"/>
          <w:spacing w:val="63"/>
          <w:w w:val="150"/>
        </w:rPr>
        <w:t> </w:t>
      </w:r>
      <w:r>
        <w:rPr>
          <w:rFonts w:ascii="黑体" w:eastAsia="黑体"/>
          <w:spacing w:val="-3"/>
        </w:rPr>
        <w:t>过程管理</w:t>
      </w:r>
    </w:p>
    <w:p>
      <w:pPr>
        <w:pStyle w:val="BodyText"/>
        <w:spacing w:line="321" w:lineRule="auto" w:before="301"/>
        <w:ind w:right="276" w:firstLine="638"/>
        <w:jc w:val="both"/>
      </w:pPr>
      <w:r>
        <w:rPr>
          <w:b/>
          <w:spacing w:val="16"/>
        </w:rPr>
        <w:t>第十八条 </w:t>
      </w:r>
      <w:r>
        <w:rPr>
          <w:spacing w:val="-5"/>
        </w:rPr>
        <w:t>项目立项下达后 </w:t>
      </w:r>
      <w:r>
        <w:rPr/>
        <w:t>2</w:t>
      </w:r>
      <w:r>
        <w:rPr>
          <w:spacing w:val="-14"/>
        </w:rPr>
        <w:t> 个月内，项目负责人要根据项</w:t>
      </w:r>
      <w:r>
        <w:rPr>
          <w:spacing w:val="-12"/>
        </w:rPr>
        <w:t>目研究内容，邀请专家学者及市委市政府相关部门负责同志，组</w:t>
      </w:r>
      <w:r>
        <w:rPr>
          <w:spacing w:val="-5"/>
        </w:rPr>
        <w:t>织项目开题论证，听取意见和建议，充实完善研究计划和任务。</w:t>
      </w:r>
    </w:p>
    <w:p>
      <w:pPr>
        <w:pStyle w:val="BodyText"/>
        <w:spacing w:line="324" w:lineRule="auto" w:before="8"/>
        <w:ind w:right="271" w:firstLine="638"/>
        <w:rPr>
          <w:rFonts w:ascii="宋体" w:eastAsia="宋体"/>
        </w:rPr>
      </w:pPr>
      <w:r>
        <w:rPr>
          <w:b/>
          <w:spacing w:val="16"/>
        </w:rPr>
        <w:t>第十九条 </w:t>
      </w:r>
      <w:r>
        <w:rPr/>
        <w:t>项目研究过程中，凡发生项目重要事项变更的，</w:t>
      </w:r>
      <w:r>
        <w:rPr>
          <w:spacing w:val="-13"/>
        </w:rPr>
        <w:t>项目负责人须填报《北京市社会科学基金决策咨询项目重要事项</w:t>
      </w:r>
      <w:r>
        <w:rPr>
          <w:spacing w:val="-2"/>
        </w:rPr>
        <w:t>变更审批表》，</w:t>
      </w:r>
      <w:r>
        <w:rPr>
          <w:rFonts w:ascii="宋体" w:eastAsia="宋体"/>
          <w:spacing w:val="-2"/>
        </w:rPr>
        <w:t>分类履行审批程序。涉及审批事项在未被批准前不得自行变更。</w:t>
      </w:r>
    </w:p>
    <w:p>
      <w:pPr>
        <w:pStyle w:val="BodyText"/>
        <w:spacing w:line="321" w:lineRule="auto"/>
        <w:ind w:right="391" w:firstLine="638"/>
      </w:pPr>
      <w:r>
        <w:rPr>
          <w:spacing w:val="-6"/>
        </w:rPr>
        <w:t>（一）变更项目负责人、变更项目责任单位、调整项目预算</w:t>
      </w:r>
      <w:r>
        <w:rPr>
          <w:spacing w:val="-2"/>
        </w:rPr>
        <w:t>资金总额等重要事项，由市社科联、市社科规划办审批。</w:t>
      </w:r>
    </w:p>
    <w:p>
      <w:pPr>
        <w:pStyle w:val="BodyText"/>
        <w:spacing w:line="321" w:lineRule="auto"/>
        <w:ind w:right="393" w:firstLine="638"/>
        <w:jc w:val="both"/>
      </w:pPr>
      <w:r>
        <w:rPr>
          <w:spacing w:val="-2"/>
        </w:rPr>
        <w:t>（二</w:t>
      </w:r>
      <w:r>
        <w:rPr>
          <w:spacing w:val="-58"/>
        </w:rPr>
        <w:t>）</w:t>
      </w:r>
      <w:r>
        <w:rPr>
          <w:spacing w:val="-9"/>
        </w:rPr>
        <w:t>调整项目资金预算、调整课题组成员及因身体原因或</w:t>
      </w:r>
      <w:r>
        <w:rPr>
          <w:spacing w:val="-7"/>
        </w:rPr>
        <w:t>不可抗拒因素自行申请终止或撤销项目等重要事项变更，由项目</w:t>
      </w:r>
      <w:r>
        <w:rPr>
          <w:spacing w:val="-2"/>
        </w:rPr>
        <w:t>责任单位审批，报市社科联、市社科规划办备案。</w:t>
      </w:r>
    </w:p>
    <w:p>
      <w:pPr>
        <w:pStyle w:val="BodyText"/>
        <w:spacing w:line="321" w:lineRule="auto" w:before="6"/>
        <w:ind w:right="391" w:firstLine="638"/>
        <w:jc w:val="both"/>
      </w:pPr>
      <w:r>
        <w:rPr>
          <w:b/>
        </w:rPr>
        <w:t>第二十条 </w:t>
      </w:r>
      <w:r>
        <w:rPr>
          <w:spacing w:val="-12"/>
        </w:rPr>
        <w:t>项目终止的，项目负责人或课题组须整理前期研</w:t>
      </w:r>
      <w:r>
        <w:rPr>
          <w:spacing w:val="-13"/>
        </w:rPr>
        <w:t>究成果和相关资料，经项目责任单位科研管理部门审核后报市社</w:t>
      </w:r>
      <w:r>
        <w:rPr>
          <w:spacing w:val="-2"/>
        </w:rPr>
        <w:t>科联、市社科规划办。</w:t>
      </w:r>
    </w:p>
    <w:p>
      <w:pPr>
        <w:pStyle w:val="BodyText"/>
        <w:spacing w:line="324" w:lineRule="auto" w:before="8"/>
        <w:ind w:right="391" w:firstLine="643"/>
        <w:jc w:val="both"/>
      </w:pPr>
      <w:r>
        <w:rPr>
          <w:b/>
          <w:spacing w:val="13"/>
        </w:rPr>
        <w:t>第二十一条 </w:t>
      </w:r>
      <w:r>
        <w:rPr/>
        <w:t>对逾期未完成的决策咨询项目实行定期清理</w:t>
      </w:r>
      <w:r>
        <w:rPr>
          <w:spacing w:val="-12"/>
        </w:rPr>
        <w:t>制。逾期半年内能够完成的项目不需要提交延期申请；个别研究</w:t>
      </w:r>
      <w:r>
        <w:rPr>
          <w:spacing w:val="-13"/>
        </w:rPr>
        <w:t>难度大、逾期半年仍无法完成的项目，项目负责人按程序提交延</w:t>
      </w:r>
      <w:r>
        <w:rPr>
          <w:spacing w:val="-9"/>
        </w:rPr>
        <w:t>期申请，延期时间不超过半年，由项目责任单位审批，报市社科</w:t>
      </w:r>
    </w:p>
    <w:p>
      <w:pPr>
        <w:spacing w:after="0" w:line="324" w:lineRule="auto"/>
        <w:jc w:val="both"/>
        <w:sectPr>
          <w:pgSz w:w="11910" w:h="16840"/>
          <w:pgMar w:header="0" w:footer="1442" w:top="1920" w:bottom="1640" w:left="1480" w:right="1080"/>
        </w:sectPr>
      </w:pPr>
    </w:p>
    <w:p>
      <w:pPr>
        <w:pStyle w:val="BodyText"/>
        <w:spacing w:line="321" w:lineRule="auto" w:before="283"/>
        <w:ind w:right="393"/>
      </w:pPr>
      <w:r>
        <w:rPr>
          <w:spacing w:val="-6"/>
        </w:rPr>
        <w:t>联、市社科规划办备案。延期届满仍未完成的，将进行清理。逾</w:t>
      </w:r>
      <w:r>
        <w:rPr>
          <w:spacing w:val="-2"/>
        </w:rPr>
        <w:t>期清理的项目，结项时不再认定为优秀和良好等级。</w:t>
      </w:r>
    </w:p>
    <w:p>
      <w:pPr>
        <w:pStyle w:val="BodyText"/>
        <w:spacing w:line="324" w:lineRule="auto" w:before="4"/>
        <w:ind w:right="391" w:firstLine="643"/>
        <w:jc w:val="both"/>
      </w:pPr>
      <w:r>
        <w:rPr>
          <w:b/>
          <w:spacing w:val="13"/>
        </w:rPr>
        <w:t>第二十二条 </w:t>
      </w:r>
      <w:r>
        <w:rPr/>
        <w:t>项目责任单位应组织召开决策咨询项目成果</w:t>
      </w:r>
      <w:r>
        <w:rPr>
          <w:spacing w:val="-10"/>
        </w:rPr>
        <w:t>交流暨工作推进专题会，邀请市委市政府相关部门负责同志，听</w:t>
      </w:r>
      <w:r>
        <w:rPr>
          <w:spacing w:val="-9"/>
        </w:rPr>
        <w:t>取在研项目前期进展情况汇报，交流阶段性研究成果，推动下一</w:t>
      </w:r>
      <w:r>
        <w:rPr>
          <w:spacing w:val="-11"/>
        </w:rPr>
        <w:t>阶段研究工作，督促课题组形成有价值有分量的研究成果，更好</w:t>
      </w:r>
      <w:r>
        <w:rPr>
          <w:spacing w:val="-2"/>
        </w:rPr>
        <w:t>服务市委市政府决策需求。</w:t>
      </w:r>
    </w:p>
    <w:p>
      <w:pPr>
        <w:pStyle w:val="BodyText"/>
        <w:spacing w:line="324" w:lineRule="auto"/>
        <w:ind w:right="389" w:firstLine="638"/>
        <w:jc w:val="both"/>
      </w:pPr>
      <w:r>
        <w:rPr>
          <w:b/>
        </w:rPr>
        <w:t>第二十三条 </w:t>
      </w:r>
      <w:r>
        <w:rPr>
          <w:spacing w:val="-12"/>
        </w:rPr>
        <w:t>项目研究过程中，课题组应加强与市委市政府</w:t>
      </w:r>
      <w:r>
        <w:rPr>
          <w:spacing w:val="-10"/>
        </w:rPr>
        <w:t>相关决策部门的对接合作，深入实际开展调查研究，及时向有关</w:t>
      </w:r>
      <w:r>
        <w:rPr>
          <w:spacing w:val="-9"/>
        </w:rPr>
        <w:t>部门报送研究成果。</w:t>
      </w:r>
      <w:r>
        <w:rPr>
          <w:rFonts w:ascii="宋体" w:eastAsia="宋体"/>
          <w:spacing w:val="-2"/>
        </w:rPr>
        <w:t>项目</w:t>
      </w:r>
      <w:r>
        <w:rPr>
          <w:spacing w:val="-7"/>
        </w:rPr>
        <w:t>研究成果被党中央国务院、中央决策部</w:t>
      </w:r>
      <w:r>
        <w:rPr>
          <w:spacing w:val="-6"/>
        </w:rPr>
        <w:t>门、市委市政府、市委市政府决策部门采用，或得到中央和省部</w:t>
      </w:r>
      <w:r>
        <w:rPr>
          <w:spacing w:val="-12"/>
        </w:rPr>
        <w:t>级领导肯定性批示，须将采用证明、领导批示的复印件及相关证</w:t>
      </w:r>
      <w:r>
        <w:rPr>
          <w:spacing w:val="-2"/>
        </w:rPr>
        <w:t>明材料报市社科联、市社科规划办备案。</w:t>
      </w:r>
    </w:p>
    <w:p>
      <w:pPr>
        <w:pStyle w:val="BodyText"/>
        <w:spacing w:line="324" w:lineRule="auto"/>
        <w:ind w:right="391" w:firstLine="638"/>
        <w:jc w:val="both"/>
      </w:pPr>
      <w:r>
        <w:rPr>
          <w:b/>
        </w:rPr>
        <w:t>第二十四条 </w:t>
      </w:r>
      <w:r>
        <w:rPr>
          <w:spacing w:val="-12"/>
        </w:rPr>
        <w:t>市社科联、市社科规划办对具有重要决策参考</w:t>
      </w:r>
      <w:r>
        <w:rPr>
          <w:spacing w:val="-6"/>
        </w:rPr>
        <w:t>价值的研究成果，编发北京社科基金项目《成果要报》和《首都</w:t>
      </w:r>
      <w:r>
        <w:rPr>
          <w:spacing w:val="-16"/>
        </w:rPr>
        <w:t>高端智库报告》，报送市委市政府和相关实际部门。</w:t>
      </w:r>
    </w:p>
    <w:p>
      <w:pPr>
        <w:pStyle w:val="BodyText"/>
        <w:spacing w:line="324" w:lineRule="auto"/>
        <w:ind w:right="391" w:firstLine="638"/>
        <w:jc w:val="both"/>
      </w:pPr>
      <w:r>
        <w:rPr>
          <w:b/>
        </w:rPr>
        <w:t>第二十五条 </w:t>
      </w:r>
      <w:r>
        <w:rPr>
          <w:spacing w:val="-8"/>
        </w:rPr>
        <w:t>项目研究成果在公开出版和发表时，一般应标</w:t>
      </w:r>
      <w:r>
        <w:rPr>
          <w:spacing w:val="-9"/>
        </w:rPr>
        <w:t>注北京市社会科学基金项目相关信息。对不符合《北京市社会科</w:t>
      </w:r>
      <w:r>
        <w:rPr>
          <w:spacing w:val="-11"/>
        </w:rPr>
        <w:t>学基金决策咨询项目鉴定结项工作细则》</w:t>
      </w:r>
      <w:r>
        <w:rPr>
          <w:spacing w:val="-2"/>
        </w:rPr>
        <w:t>（以下简称《鉴定结项</w:t>
      </w:r>
      <w:r>
        <w:rPr>
          <w:spacing w:val="-34"/>
        </w:rPr>
        <w:t>工作细则》</w:t>
      </w:r>
      <w:r>
        <w:rPr>
          <w:spacing w:val="-2"/>
        </w:rPr>
        <w:t>）标注的研究成果，在鉴定结项时不予认定。</w:t>
      </w:r>
    </w:p>
    <w:p>
      <w:pPr>
        <w:pStyle w:val="BodyText"/>
        <w:spacing w:line="324" w:lineRule="auto"/>
        <w:ind w:right="391" w:firstLine="638"/>
        <w:jc w:val="both"/>
      </w:pPr>
      <w:r>
        <w:rPr>
          <w:b/>
          <w:spacing w:val="14"/>
        </w:rPr>
        <w:t>第二十六条 </w:t>
      </w:r>
      <w:r>
        <w:rPr/>
        <w:t>凡涉及国家秘密或重要敏感问题的决策咨询</w:t>
      </w:r>
      <w:r>
        <w:rPr>
          <w:spacing w:val="-9"/>
        </w:rPr>
        <w:t>项目研究成果出版、发表的，或以“北京市社会科学基金决策咨</w:t>
      </w:r>
    </w:p>
    <w:p>
      <w:pPr>
        <w:spacing w:after="0" w:line="324" w:lineRule="auto"/>
        <w:jc w:val="both"/>
        <w:sectPr>
          <w:pgSz w:w="11910" w:h="16840"/>
          <w:pgMar w:header="0" w:footer="1442" w:top="1920" w:bottom="1640" w:left="1480" w:right="1080"/>
        </w:sectPr>
      </w:pPr>
    </w:p>
    <w:p>
      <w:pPr>
        <w:pStyle w:val="BodyText"/>
        <w:spacing w:line="321" w:lineRule="auto" w:before="283"/>
        <w:ind w:right="393"/>
      </w:pPr>
      <w:r>
        <w:rPr>
          <w:spacing w:val="-2"/>
        </w:rPr>
        <w:t>询项目负责人（参加者</w:t>
      </w:r>
      <w:r>
        <w:rPr>
          <w:spacing w:val="-159"/>
        </w:rPr>
        <w:t>）</w:t>
      </w:r>
      <w:r>
        <w:rPr>
          <w:spacing w:val="-2"/>
        </w:rPr>
        <w:t>”名义接受新闻媒体采访的，须报市社科联、市社科规划办审批。</w:t>
      </w:r>
    </w:p>
    <w:p>
      <w:pPr>
        <w:pStyle w:val="BodyText"/>
        <w:spacing w:before="160"/>
        <w:ind w:left="2" w:right="287"/>
        <w:jc w:val="center"/>
        <w:rPr>
          <w:rFonts w:ascii="黑体" w:eastAsia="黑体"/>
        </w:rPr>
      </w:pPr>
      <w:r>
        <w:rPr>
          <w:rFonts w:ascii="黑体" w:eastAsia="黑体"/>
        </w:rPr>
        <w:t>第五章</w:t>
      </w:r>
      <w:r>
        <w:rPr>
          <w:rFonts w:ascii="黑体" w:eastAsia="黑体"/>
          <w:spacing w:val="63"/>
          <w:w w:val="150"/>
        </w:rPr>
        <w:t> </w:t>
      </w:r>
      <w:r>
        <w:rPr>
          <w:rFonts w:ascii="黑体" w:eastAsia="黑体"/>
          <w:spacing w:val="-3"/>
        </w:rPr>
        <w:t>鉴定结项</w:t>
      </w:r>
    </w:p>
    <w:p>
      <w:pPr>
        <w:pStyle w:val="BodyText"/>
        <w:spacing w:line="321" w:lineRule="auto" w:before="301"/>
        <w:ind w:right="391" w:firstLine="638"/>
        <w:jc w:val="both"/>
      </w:pPr>
      <w:r>
        <w:rPr>
          <w:b/>
        </w:rPr>
        <w:t>第二十七条 </w:t>
      </w:r>
      <w:r>
        <w:rPr>
          <w:spacing w:val="-7"/>
        </w:rPr>
        <w:t>项目研究须注重阶段性成果的产出及转化，鉴</w:t>
      </w:r>
      <w:r>
        <w:rPr>
          <w:spacing w:val="-6"/>
        </w:rPr>
        <w:t>定结项时须严格按照《鉴定结项工作细则》要求，提交阶段性成</w:t>
      </w:r>
      <w:r>
        <w:rPr>
          <w:spacing w:val="-2"/>
        </w:rPr>
        <w:t>果和最终成果。</w:t>
      </w:r>
    </w:p>
    <w:p>
      <w:pPr>
        <w:pStyle w:val="BodyText"/>
        <w:spacing w:line="324" w:lineRule="auto" w:before="8"/>
        <w:ind w:right="266" w:firstLine="638"/>
      </w:pPr>
      <w:r>
        <w:rPr>
          <w:b/>
          <w:spacing w:val="13"/>
        </w:rPr>
        <w:t>第二十八条 </w:t>
      </w:r>
      <w:r>
        <w:rPr/>
        <w:t>市社科联、市社科规划办负责组织重大项目、</w:t>
      </w:r>
      <w:r>
        <w:rPr>
          <w:spacing w:val="-13"/>
        </w:rPr>
        <w:t>重点项目的成果鉴定。项目责任单位科研管理部门负责组织一般</w:t>
      </w:r>
      <w:r>
        <w:rPr>
          <w:spacing w:val="-12"/>
        </w:rPr>
        <w:t>项目的成果鉴定。课题组不得自行组织成果鉴定，不得参与鉴定</w:t>
      </w:r>
      <w:r>
        <w:rPr>
          <w:spacing w:val="-2"/>
        </w:rPr>
        <w:t>专家的遴选。</w:t>
      </w:r>
    </w:p>
    <w:p>
      <w:pPr>
        <w:pStyle w:val="BodyText"/>
        <w:spacing w:line="324" w:lineRule="auto"/>
        <w:ind w:right="391" w:firstLine="638"/>
        <w:jc w:val="both"/>
      </w:pPr>
      <w:r>
        <w:rPr>
          <w:b/>
          <w:spacing w:val="8"/>
        </w:rPr>
        <w:t>第二十九条 </w:t>
      </w:r>
      <w:r>
        <w:rPr/>
        <w:t>决策咨询项目在完成研究目标和研究计划的</w:t>
      </w:r>
      <w:r>
        <w:rPr>
          <w:spacing w:val="-6"/>
        </w:rPr>
        <w:t>基础上，研究成果（含阶段性成果）</w:t>
      </w:r>
      <w:r>
        <w:rPr>
          <w:rFonts w:ascii="宋体" w:eastAsia="宋体"/>
          <w:spacing w:val="-6"/>
        </w:rPr>
        <w:t>得到以下转化应用的，</w:t>
      </w:r>
      <w:r>
        <w:rPr>
          <w:spacing w:val="-6"/>
        </w:rPr>
        <w:t>可申</w:t>
      </w:r>
      <w:r>
        <w:rPr>
          <w:spacing w:val="-2"/>
        </w:rPr>
        <w:t>请免于鉴定结项。</w:t>
      </w:r>
    </w:p>
    <w:p>
      <w:pPr>
        <w:pStyle w:val="BodyText"/>
        <w:spacing w:line="321" w:lineRule="auto"/>
        <w:ind w:right="393" w:firstLine="638"/>
      </w:pPr>
      <w:r>
        <w:rPr>
          <w:spacing w:val="-2"/>
        </w:rPr>
        <w:t>申请免于鉴定结项的成果及证明材料应为该项目在研期间产生且与项目主题密切相关。</w:t>
      </w:r>
    </w:p>
    <w:p>
      <w:pPr>
        <w:spacing w:before="150"/>
        <w:ind w:left="747" w:right="0" w:firstLine="0"/>
        <w:jc w:val="left"/>
        <w:rPr>
          <w:b/>
          <w:sz w:val="32"/>
        </w:rPr>
      </w:pPr>
      <w:r>
        <w:rPr>
          <w:spacing w:val="-2"/>
          <w:sz w:val="32"/>
        </w:rPr>
        <w:t>（一）</w:t>
      </w:r>
      <w:r>
        <w:rPr>
          <w:b/>
          <w:spacing w:val="-4"/>
          <w:sz w:val="32"/>
        </w:rPr>
        <w:t>重大项目</w:t>
      </w:r>
    </w:p>
    <w:p>
      <w:pPr>
        <w:pStyle w:val="Heading1"/>
        <w:numPr>
          <w:ilvl w:val="0"/>
          <w:numId w:val="1"/>
        </w:numPr>
        <w:tabs>
          <w:tab w:pos="1068" w:val="left" w:leader="none"/>
        </w:tabs>
        <w:spacing w:line="240" w:lineRule="auto" w:before="143" w:after="0"/>
        <w:ind w:left="1068" w:right="0" w:hanging="321"/>
        <w:jc w:val="left"/>
      </w:pPr>
      <w:r>
        <w:rPr>
          <w:spacing w:val="-3"/>
        </w:rPr>
        <w:t>符合下列一个条件：</w:t>
      </w:r>
    </w:p>
    <w:p>
      <w:pPr>
        <w:pStyle w:val="ListParagraph"/>
        <w:numPr>
          <w:ilvl w:val="0"/>
          <w:numId w:val="2"/>
        </w:numPr>
        <w:tabs>
          <w:tab w:pos="1546" w:val="left" w:leader="none"/>
        </w:tabs>
        <w:spacing w:line="240" w:lineRule="auto" w:before="143" w:after="0"/>
        <w:ind w:left="1546" w:right="0" w:hanging="799"/>
        <w:jc w:val="left"/>
        <w:rPr>
          <w:sz w:val="32"/>
        </w:rPr>
      </w:pPr>
      <w:r>
        <w:rPr>
          <w:rFonts w:ascii="宋体" w:eastAsia="宋体"/>
          <w:spacing w:val="-4"/>
          <w:sz w:val="32"/>
        </w:rPr>
        <w:t>项目研究</w:t>
      </w:r>
      <w:r>
        <w:rPr>
          <w:spacing w:val="-5"/>
          <w:sz w:val="32"/>
        </w:rPr>
        <w:t>成果得到中央领导肯定性批示;</w:t>
      </w:r>
    </w:p>
    <w:p>
      <w:pPr>
        <w:pStyle w:val="ListParagraph"/>
        <w:numPr>
          <w:ilvl w:val="0"/>
          <w:numId w:val="2"/>
        </w:numPr>
        <w:tabs>
          <w:tab w:pos="1550" w:val="left" w:leader="none"/>
        </w:tabs>
        <w:spacing w:line="321" w:lineRule="auto" w:before="146" w:after="0"/>
        <w:ind w:left="108" w:right="393" w:firstLine="638"/>
        <w:jc w:val="left"/>
        <w:rPr>
          <w:sz w:val="32"/>
        </w:rPr>
      </w:pPr>
      <w:r>
        <w:rPr>
          <w:rFonts w:ascii="宋体" w:eastAsia="宋体"/>
          <w:spacing w:val="-2"/>
          <w:sz w:val="32"/>
        </w:rPr>
        <w:t>项目研究</w:t>
      </w:r>
      <w:r>
        <w:rPr>
          <w:spacing w:val="-2"/>
          <w:sz w:val="32"/>
        </w:rPr>
        <w:t>成果被党中央国务院、中央决策部门、市委市政府采用；</w:t>
      </w:r>
    </w:p>
    <w:p>
      <w:pPr>
        <w:pStyle w:val="ListParagraph"/>
        <w:numPr>
          <w:ilvl w:val="0"/>
          <w:numId w:val="2"/>
        </w:numPr>
        <w:tabs>
          <w:tab w:pos="1429" w:val="left" w:leader="none"/>
        </w:tabs>
        <w:spacing w:line="240" w:lineRule="auto" w:before="3" w:after="0"/>
        <w:ind w:left="1429" w:right="0" w:hanging="682"/>
        <w:jc w:val="left"/>
        <w:rPr>
          <w:sz w:val="32"/>
        </w:rPr>
      </w:pPr>
      <w:r>
        <w:rPr>
          <w:rFonts w:ascii="宋体" w:eastAsia="宋体"/>
          <w:spacing w:val="-2"/>
          <w:sz w:val="32"/>
        </w:rPr>
        <w:t>项目研究</w:t>
      </w:r>
      <w:r>
        <w:rPr>
          <w:spacing w:val="-4"/>
          <w:sz w:val="32"/>
        </w:rPr>
        <w:t>成果获北京市优秀调查研究成果奖二等 奖以</w:t>
      </w:r>
    </w:p>
    <w:p>
      <w:pPr>
        <w:spacing w:after="0" w:line="240" w:lineRule="auto"/>
        <w:jc w:val="left"/>
        <w:rPr>
          <w:sz w:val="32"/>
        </w:rPr>
        <w:sectPr>
          <w:pgSz w:w="11910" w:h="16840"/>
          <w:pgMar w:header="0" w:footer="1442" w:top="1920" w:bottom="1640" w:left="1480" w:right="1080"/>
        </w:sectPr>
      </w:pPr>
    </w:p>
    <w:p>
      <w:pPr>
        <w:pStyle w:val="BodyText"/>
        <w:spacing w:before="283"/>
      </w:pPr>
      <w:r>
        <w:rPr>
          <w:spacing w:val="-8"/>
        </w:rPr>
        <w:t>上。</w:t>
      </w:r>
    </w:p>
    <w:p>
      <w:pPr>
        <w:pStyle w:val="Heading1"/>
        <w:numPr>
          <w:ilvl w:val="0"/>
          <w:numId w:val="1"/>
        </w:numPr>
        <w:tabs>
          <w:tab w:pos="1068" w:val="left" w:leader="none"/>
        </w:tabs>
        <w:spacing w:line="240" w:lineRule="auto" w:before="143" w:after="0"/>
        <w:ind w:left="1068" w:right="0" w:hanging="321"/>
        <w:jc w:val="left"/>
      </w:pPr>
      <w:r>
        <w:rPr>
          <w:spacing w:val="-3"/>
        </w:rPr>
        <w:t>符合下列两个条件或任一条件两次：</w:t>
      </w:r>
    </w:p>
    <w:p>
      <w:pPr>
        <w:pStyle w:val="ListParagraph"/>
        <w:numPr>
          <w:ilvl w:val="0"/>
          <w:numId w:val="3"/>
        </w:numPr>
        <w:tabs>
          <w:tab w:pos="1546" w:val="left" w:leader="none"/>
        </w:tabs>
        <w:spacing w:line="240" w:lineRule="auto" w:before="144" w:after="0"/>
        <w:ind w:left="1546" w:right="0" w:hanging="799"/>
        <w:jc w:val="left"/>
        <w:rPr>
          <w:sz w:val="32"/>
        </w:rPr>
      </w:pPr>
      <w:r>
        <w:rPr>
          <w:rFonts w:ascii="宋体" w:eastAsia="宋体"/>
          <w:spacing w:val="-4"/>
          <w:sz w:val="32"/>
        </w:rPr>
        <w:t>项目研究</w:t>
      </w:r>
      <w:r>
        <w:rPr>
          <w:spacing w:val="-5"/>
          <w:sz w:val="32"/>
        </w:rPr>
        <w:t>成果得到省部级领导肯定性批示；</w:t>
      </w:r>
    </w:p>
    <w:p>
      <w:pPr>
        <w:pStyle w:val="ListParagraph"/>
        <w:numPr>
          <w:ilvl w:val="0"/>
          <w:numId w:val="3"/>
        </w:numPr>
        <w:tabs>
          <w:tab w:pos="1546" w:val="left" w:leader="none"/>
        </w:tabs>
        <w:spacing w:line="240" w:lineRule="auto" w:before="145" w:after="0"/>
        <w:ind w:left="1546" w:right="0" w:hanging="799"/>
        <w:jc w:val="left"/>
        <w:rPr>
          <w:sz w:val="32"/>
        </w:rPr>
      </w:pPr>
      <w:r>
        <w:rPr>
          <w:rFonts w:ascii="宋体" w:eastAsia="宋体"/>
          <w:spacing w:val="-4"/>
          <w:sz w:val="32"/>
        </w:rPr>
        <w:t>项目研究</w:t>
      </w:r>
      <w:r>
        <w:rPr>
          <w:spacing w:val="-5"/>
          <w:sz w:val="32"/>
        </w:rPr>
        <w:t>成果被市委市政府决策部门采用。</w:t>
      </w:r>
    </w:p>
    <w:p>
      <w:pPr>
        <w:pStyle w:val="Heading1"/>
        <w:spacing w:before="299"/>
        <w:ind w:left="747" w:firstLine="0"/>
        <w:rPr>
          <w:b w:val="0"/>
        </w:rPr>
      </w:pPr>
      <w:r>
        <w:rPr>
          <w:b w:val="0"/>
          <w:spacing w:val="-2"/>
        </w:rPr>
        <w:t>（二）</w:t>
      </w:r>
      <w:r>
        <w:rPr>
          <w:spacing w:val="-2"/>
        </w:rPr>
        <w:t>重点项目、一般项目（符合下列一个条件即可</w:t>
      </w:r>
      <w:r>
        <w:rPr>
          <w:spacing w:val="-5"/>
        </w:rPr>
        <w:t>）</w:t>
      </w:r>
      <w:r>
        <w:rPr>
          <w:b w:val="0"/>
          <w:spacing w:val="-5"/>
        </w:rPr>
        <w:t>：</w:t>
      </w:r>
    </w:p>
    <w:p>
      <w:pPr>
        <w:pStyle w:val="ListParagraph"/>
        <w:numPr>
          <w:ilvl w:val="0"/>
          <w:numId w:val="4"/>
        </w:numPr>
        <w:tabs>
          <w:tab w:pos="1546" w:val="left" w:leader="none"/>
        </w:tabs>
        <w:spacing w:line="240" w:lineRule="auto" w:before="144" w:after="0"/>
        <w:ind w:left="1546" w:right="0" w:hanging="799"/>
        <w:jc w:val="left"/>
        <w:rPr>
          <w:sz w:val="32"/>
        </w:rPr>
      </w:pPr>
      <w:r>
        <w:rPr>
          <w:rFonts w:ascii="宋体" w:eastAsia="宋体"/>
          <w:spacing w:val="-4"/>
          <w:sz w:val="32"/>
        </w:rPr>
        <w:t>项目研究</w:t>
      </w:r>
      <w:r>
        <w:rPr>
          <w:spacing w:val="-5"/>
          <w:sz w:val="32"/>
        </w:rPr>
        <w:t>成果得到中央或省部级领导肯定性批示；</w:t>
      </w:r>
    </w:p>
    <w:p>
      <w:pPr>
        <w:pStyle w:val="ListParagraph"/>
        <w:numPr>
          <w:ilvl w:val="0"/>
          <w:numId w:val="4"/>
        </w:numPr>
        <w:tabs>
          <w:tab w:pos="1550" w:val="left" w:leader="none"/>
        </w:tabs>
        <w:spacing w:line="321" w:lineRule="auto" w:before="145" w:after="0"/>
        <w:ind w:left="108" w:right="393" w:firstLine="638"/>
        <w:jc w:val="left"/>
        <w:rPr>
          <w:sz w:val="32"/>
        </w:rPr>
      </w:pPr>
      <w:r>
        <w:rPr>
          <w:rFonts w:ascii="宋体" w:eastAsia="宋体"/>
          <w:spacing w:val="-2"/>
          <w:sz w:val="32"/>
        </w:rPr>
        <w:t>项目研究</w:t>
      </w:r>
      <w:r>
        <w:rPr>
          <w:spacing w:val="-2"/>
          <w:sz w:val="32"/>
        </w:rPr>
        <w:t>成果被党中央国务院、中央决策部门、市委市政府、市委市政府决策部门采用；</w:t>
      </w:r>
    </w:p>
    <w:p>
      <w:pPr>
        <w:pStyle w:val="ListParagraph"/>
        <w:numPr>
          <w:ilvl w:val="0"/>
          <w:numId w:val="4"/>
        </w:numPr>
        <w:tabs>
          <w:tab w:pos="1546" w:val="left" w:leader="none"/>
        </w:tabs>
        <w:spacing w:line="240" w:lineRule="auto" w:before="4" w:after="0"/>
        <w:ind w:left="1546" w:right="0" w:hanging="799"/>
        <w:jc w:val="left"/>
        <w:rPr>
          <w:sz w:val="32"/>
        </w:rPr>
      </w:pPr>
      <w:r>
        <w:rPr>
          <w:rFonts w:ascii="宋体" w:eastAsia="宋体"/>
          <w:spacing w:val="-4"/>
          <w:sz w:val="32"/>
        </w:rPr>
        <w:t>项目研究</w:t>
      </w:r>
      <w:r>
        <w:rPr>
          <w:spacing w:val="-5"/>
          <w:sz w:val="32"/>
        </w:rPr>
        <w:t>成果获北京市优秀调查研究成果奖；</w:t>
      </w:r>
    </w:p>
    <w:p>
      <w:pPr>
        <w:pStyle w:val="ListParagraph"/>
        <w:numPr>
          <w:ilvl w:val="0"/>
          <w:numId w:val="4"/>
        </w:numPr>
        <w:tabs>
          <w:tab w:pos="1550" w:val="left" w:leader="none"/>
        </w:tabs>
        <w:spacing w:line="321" w:lineRule="auto" w:before="145" w:after="0"/>
        <w:ind w:left="108" w:right="393" w:firstLine="638"/>
        <w:jc w:val="left"/>
        <w:rPr>
          <w:sz w:val="32"/>
        </w:rPr>
      </w:pPr>
      <w:r>
        <w:rPr>
          <w:rFonts w:ascii="宋体" w:eastAsia="宋体"/>
          <w:spacing w:val="-2"/>
          <w:sz w:val="32"/>
        </w:rPr>
        <w:t>项目研究</w:t>
      </w:r>
      <w:r>
        <w:rPr>
          <w:spacing w:val="-2"/>
          <w:sz w:val="32"/>
        </w:rPr>
        <w:t>成果列入社会科学文献出版社皮书系列（北京市哲学社会科学研究基地智库报告系列丛书）公开出版。</w:t>
      </w:r>
    </w:p>
    <w:p>
      <w:pPr>
        <w:pStyle w:val="BodyText"/>
        <w:spacing w:line="324" w:lineRule="auto" w:before="4"/>
        <w:ind w:right="234" w:firstLine="638"/>
      </w:pPr>
      <w:r>
        <w:rPr>
          <w:b/>
          <w:spacing w:val="13"/>
        </w:rPr>
        <w:t>第三十条  </w:t>
      </w:r>
      <w:r>
        <w:rPr/>
        <w:t>决策咨询项目的成果鉴定采取通讯鉴定或会议</w:t>
      </w:r>
      <w:r>
        <w:rPr>
          <w:spacing w:val="-20"/>
        </w:rPr>
        <w:t>集中鉴定的方式完成。成果鉴定实行评分定等级制度，分为优秀、</w:t>
      </w:r>
      <w:r>
        <w:rPr>
          <w:spacing w:val="-2"/>
        </w:rPr>
        <w:t>良好、合格、不合格。</w:t>
      </w:r>
    </w:p>
    <w:p>
      <w:pPr>
        <w:pStyle w:val="BodyText"/>
        <w:spacing w:line="324" w:lineRule="auto"/>
        <w:ind w:right="276" w:firstLine="638"/>
      </w:pPr>
      <w:r>
        <w:rPr>
          <w:b/>
          <w:spacing w:val="13"/>
        </w:rPr>
        <w:t>第三十一条 </w:t>
      </w:r>
      <w:r>
        <w:rPr>
          <w:spacing w:val="-12"/>
        </w:rPr>
        <w:t>成果鉴定等级为“合格”以上或获准免于鉴定</w:t>
      </w:r>
      <w:r>
        <w:rPr>
          <w:spacing w:val="-14"/>
        </w:rPr>
        <w:t>的项目，项目责任单位科研管理部门一般应在一个月内向市社科</w:t>
      </w:r>
      <w:r>
        <w:rPr>
          <w:spacing w:val="-2"/>
        </w:rPr>
        <w:t>联、市社科规划办申请办理结项；成果鉴定“不合格”的项目，</w:t>
      </w:r>
      <w:r>
        <w:rPr>
          <w:spacing w:val="-13"/>
        </w:rPr>
        <w:t>约谈项目负责人，项目负责人须按照修改建议完成对成果的修改</w:t>
      </w:r>
      <w:r>
        <w:rPr>
          <w:spacing w:val="-2"/>
        </w:rPr>
        <w:t>后，提交成果及《成果修改说明》，申请二次鉴定。</w:t>
      </w:r>
    </w:p>
    <w:p>
      <w:pPr>
        <w:pStyle w:val="BodyText"/>
        <w:spacing w:line="324" w:lineRule="auto"/>
        <w:ind w:right="391" w:firstLine="638"/>
        <w:jc w:val="both"/>
        <w:rPr>
          <w:rFonts w:ascii="宋体" w:eastAsia="宋体"/>
        </w:rPr>
      </w:pPr>
      <w:r>
        <w:rPr>
          <w:b/>
        </w:rPr>
        <w:t>第三十二条 </w:t>
      </w:r>
      <w:r>
        <w:rPr>
          <w:rFonts w:ascii="宋体" w:eastAsia="宋体"/>
          <w:spacing w:val="-12"/>
        </w:rPr>
        <w:t>市社科联、市社科规划办对项目结项材料进行</w:t>
      </w:r>
      <w:r>
        <w:rPr>
          <w:rFonts w:ascii="宋体" w:eastAsia="宋体"/>
          <w:spacing w:val="-6"/>
        </w:rPr>
        <w:t>验收，符合条件的准予结项，颁发《北京市社会科学基金项目结</w:t>
      </w:r>
      <w:r>
        <w:rPr>
          <w:rFonts w:ascii="宋体" w:eastAsia="宋体"/>
          <w:spacing w:val="-2"/>
        </w:rPr>
        <w:t>项证书》。项目结项等级分为优秀、良好和合格。</w:t>
      </w:r>
    </w:p>
    <w:p>
      <w:pPr>
        <w:spacing w:after="0" w:line="324" w:lineRule="auto"/>
        <w:jc w:val="both"/>
        <w:rPr>
          <w:rFonts w:ascii="宋体" w:eastAsia="宋体"/>
        </w:rPr>
        <w:sectPr>
          <w:pgSz w:w="11910" w:h="16840"/>
          <w:pgMar w:header="0" w:footer="1442" w:top="1920" w:bottom="1640" w:left="1480" w:right="1080"/>
        </w:sectPr>
      </w:pPr>
    </w:p>
    <w:p>
      <w:pPr>
        <w:pStyle w:val="BodyText"/>
        <w:spacing w:line="324" w:lineRule="auto" w:before="283"/>
        <w:ind w:right="391" w:firstLine="626"/>
        <w:jc w:val="both"/>
      </w:pPr>
      <w:r>
        <w:rPr>
          <w:b/>
        </w:rPr>
        <w:t>第三十三条 </w:t>
      </w:r>
      <w:r>
        <w:rPr/>
        <w:t>对于不按照《申请书》承诺开展研究工作，或</w:t>
      </w:r>
      <w:r>
        <w:rPr>
          <w:spacing w:val="-9"/>
        </w:rPr>
        <w:t>成果鉴定组织工作不符合要求的项目，市社科联、市社科规划办</w:t>
      </w:r>
      <w:r>
        <w:rPr>
          <w:spacing w:val="-13"/>
        </w:rPr>
        <w:t>将组织专家复审。复审不合格的，项目负责人须在半年内修改完</w:t>
      </w:r>
      <w:r>
        <w:rPr>
          <w:spacing w:val="-6"/>
        </w:rPr>
        <w:t>善成果并提交《成果修改说明》，由市社科联、市社科规划办组</w:t>
      </w:r>
      <w:r>
        <w:rPr>
          <w:spacing w:val="-2"/>
        </w:rPr>
        <w:t>织二次鉴定。</w:t>
      </w:r>
    </w:p>
    <w:p>
      <w:pPr>
        <w:pStyle w:val="BodyText"/>
        <w:spacing w:before="147"/>
        <w:ind w:left="2" w:right="287"/>
        <w:jc w:val="center"/>
        <w:rPr>
          <w:rFonts w:ascii="黑体" w:eastAsia="黑体"/>
        </w:rPr>
      </w:pPr>
      <w:r>
        <w:rPr>
          <w:rFonts w:ascii="黑体" w:eastAsia="黑体"/>
        </w:rPr>
        <w:t>第六章</w:t>
      </w:r>
      <w:r>
        <w:rPr>
          <w:rFonts w:ascii="黑体" w:eastAsia="黑体"/>
          <w:spacing w:val="63"/>
          <w:w w:val="150"/>
        </w:rPr>
        <w:t> </w:t>
      </w:r>
      <w:r>
        <w:rPr>
          <w:rFonts w:ascii="黑体" w:eastAsia="黑体"/>
          <w:spacing w:val="-3"/>
        </w:rPr>
        <w:t>奖励惩戒</w:t>
      </w:r>
    </w:p>
    <w:p>
      <w:pPr>
        <w:pStyle w:val="BodyText"/>
        <w:spacing w:line="321" w:lineRule="auto" w:before="301"/>
        <w:ind w:right="391" w:firstLine="638"/>
        <w:jc w:val="both"/>
      </w:pPr>
      <w:r>
        <w:rPr>
          <w:b/>
        </w:rPr>
        <w:t>第三十四条 </w:t>
      </w:r>
      <w:r>
        <w:rPr>
          <w:spacing w:val="-11"/>
        </w:rPr>
        <w:t>市社科联、市社科规划办建立项目负责人、研</w:t>
      </w:r>
      <w:r>
        <w:rPr>
          <w:spacing w:val="-13"/>
        </w:rPr>
        <w:t>究基地、项目责任单位的科研信誉档案，并将其作为继续承担决</w:t>
      </w:r>
      <w:r>
        <w:rPr>
          <w:spacing w:val="-2"/>
        </w:rPr>
        <w:t>策咨询项目的重要参考。</w:t>
      </w:r>
    </w:p>
    <w:p>
      <w:pPr>
        <w:pStyle w:val="BodyText"/>
        <w:spacing w:line="324" w:lineRule="auto" w:before="8"/>
        <w:ind w:right="276" w:firstLine="638"/>
      </w:pPr>
      <w:r>
        <w:rPr>
          <w:b/>
          <w:spacing w:val="13"/>
        </w:rPr>
        <w:t>第三十五条 </w:t>
      </w:r>
      <w:r>
        <w:rPr>
          <w:spacing w:val="-9"/>
        </w:rPr>
        <w:t>对决策咨询项目结项等级为“优秀”的项目负</w:t>
      </w:r>
      <w:r>
        <w:rPr>
          <w:spacing w:val="-13"/>
        </w:rPr>
        <w:t>责人，第二年围绕同一研究领域进行持续深入研究，再次申报决</w:t>
      </w:r>
      <w:r>
        <w:rPr>
          <w:spacing w:val="-2"/>
        </w:rPr>
        <w:t>策咨询项目时，可享受一次不占本研究基地和本单位申报指标，直接入围会议评审的奖励。</w:t>
      </w:r>
    </w:p>
    <w:p>
      <w:pPr>
        <w:pStyle w:val="BodyText"/>
        <w:spacing w:line="324" w:lineRule="auto"/>
        <w:ind w:right="391" w:firstLine="638"/>
        <w:jc w:val="both"/>
      </w:pPr>
      <w:r>
        <w:rPr>
          <w:b/>
        </w:rPr>
        <w:t>第三十六条 </w:t>
      </w:r>
      <w:r>
        <w:rPr>
          <w:spacing w:val="-7"/>
        </w:rPr>
        <w:t>对其他类别北京社科基金项目结项等级为“优</w:t>
      </w:r>
      <w:r>
        <w:rPr>
          <w:spacing w:val="-6"/>
        </w:rPr>
        <w:t>秀”的项目负责人，第二年申报决策咨询项目时，可享受一次不</w:t>
      </w:r>
      <w:r>
        <w:rPr>
          <w:spacing w:val="-2"/>
        </w:rPr>
        <w:t>占本单位申报指标的奖励。</w:t>
      </w:r>
    </w:p>
    <w:p>
      <w:pPr>
        <w:pStyle w:val="BodyText"/>
        <w:spacing w:line="324" w:lineRule="auto"/>
        <w:ind w:right="234" w:firstLine="640"/>
      </w:pPr>
      <w:r>
        <w:rPr>
          <w:b/>
          <w:spacing w:val="13"/>
        </w:rPr>
        <w:t>第三十七条 </w:t>
      </w:r>
      <w:r>
        <w:rPr>
          <w:spacing w:val="-7"/>
        </w:rPr>
        <w:t>决策咨询项目实施中有下列情况之一的，项目</w:t>
      </w:r>
      <w:r>
        <w:rPr>
          <w:spacing w:val="-19"/>
        </w:rPr>
        <w:t>责任单位应及时向市社科联、市社科规划办说明情况，市社科联、</w:t>
      </w:r>
      <w:r>
        <w:rPr>
          <w:spacing w:val="-2"/>
        </w:rPr>
        <w:t>市社科规划办视情节轻重酌情予以终止或撤销项目处理：</w:t>
      </w:r>
    </w:p>
    <w:p>
      <w:pPr>
        <w:pStyle w:val="BodyText"/>
        <w:spacing w:line="411" w:lineRule="exact"/>
        <w:ind w:left="747"/>
      </w:pPr>
      <w:r>
        <w:rPr>
          <w:spacing w:val="-4"/>
        </w:rPr>
        <w:t>（一）项目研究成果（含阶段性成果）</w:t>
      </w:r>
      <w:r>
        <w:rPr>
          <w:spacing w:val="-5"/>
        </w:rPr>
        <w:t>有政治问题的；</w:t>
      </w:r>
    </w:p>
    <w:p>
      <w:pPr>
        <w:pStyle w:val="BodyText"/>
        <w:spacing w:before="131"/>
        <w:ind w:left="747"/>
      </w:pPr>
      <w:r>
        <w:rPr>
          <w:spacing w:val="-20"/>
        </w:rPr>
        <w:t>（二）项目研究中有剽窃或者弄虚作假等学术不端行为；</w:t>
      </w:r>
    </w:p>
    <w:p>
      <w:pPr>
        <w:pStyle w:val="BodyText"/>
        <w:spacing w:before="146"/>
        <w:ind w:left="747"/>
      </w:pPr>
      <w:r>
        <w:rPr>
          <w:spacing w:val="-4"/>
        </w:rPr>
        <w:t>（三）</w:t>
      </w:r>
      <w:r>
        <w:rPr>
          <w:spacing w:val="-5"/>
        </w:rPr>
        <w:t>严重违反资金使用和管理规定；</w:t>
      </w:r>
    </w:p>
    <w:p>
      <w:pPr>
        <w:spacing w:after="0"/>
        <w:sectPr>
          <w:pgSz w:w="11910" w:h="16840"/>
          <w:pgMar w:header="0" w:footer="1442" w:top="1920" w:bottom="1640" w:left="1480" w:right="1080"/>
        </w:sectPr>
      </w:pPr>
    </w:p>
    <w:p>
      <w:pPr>
        <w:pStyle w:val="BodyText"/>
        <w:spacing w:before="283"/>
        <w:ind w:left="747"/>
      </w:pPr>
      <w:r>
        <w:rPr>
          <w:spacing w:val="-4"/>
        </w:rPr>
        <w:t>（四）</w:t>
      </w:r>
      <w:r>
        <w:rPr>
          <w:spacing w:val="-5"/>
        </w:rPr>
        <w:t>项目研究成果严重偏离预期研究目标；</w:t>
      </w:r>
    </w:p>
    <w:p>
      <w:pPr>
        <w:pStyle w:val="BodyText"/>
        <w:spacing w:before="143"/>
        <w:ind w:left="747"/>
      </w:pPr>
      <w:r>
        <w:rPr/>
        <w:t>（五）</w:t>
      </w:r>
      <w:r>
        <w:rPr>
          <w:spacing w:val="-1"/>
        </w:rPr>
        <w:t>项目研究成果鉴定不合格且鉴定专家认为无修改必</w:t>
      </w:r>
    </w:p>
    <w:p>
      <w:pPr>
        <w:pStyle w:val="BodyText"/>
        <w:spacing w:before="144"/>
      </w:pPr>
      <w:r>
        <w:rPr>
          <w:spacing w:val="-8"/>
        </w:rPr>
        <w:t>要；</w:t>
      </w:r>
    </w:p>
    <w:p>
      <w:pPr>
        <w:pStyle w:val="BodyText"/>
        <w:spacing w:before="145"/>
        <w:ind w:left="747"/>
      </w:pPr>
      <w:r>
        <w:rPr>
          <w:spacing w:val="-4"/>
        </w:rPr>
        <w:t>（六</w:t>
      </w:r>
      <w:r>
        <w:rPr>
          <w:spacing w:val="-58"/>
        </w:rPr>
        <w:t>）</w:t>
      </w:r>
      <w:r>
        <w:rPr>
          <w:spacing w:val="-10"/>
        </w:rPr>
        <w:t>项目因逾期被清理，期满仍不能完成或成果鉴定不合</w:t>
      </w:r>
    </w:p>
    <w:p>
      <w:pPr>
        <w:pStyle w:val="BodyText"/>
        <w:spacing w:before="143"/>
      </w:pPr>
      <w:r>
        <w:rPr>
          <w:spacing w:val="-8"/>
        </w:rPr>
        <w:t>格；</w:t>
      </w:r>
    </w:p>
    <w:p>
      <w:pPr>
        <w:pStyle w:val="BodyText"/>
        <w:spacing w:before="144"/>
        <w:ind w:left="747"/>
      </w:pPr>
      <w:r>
        <w:rPr>
          <w:rFonts w:ascii="宋体" w:eastAsia="宋体"/>
          <w:spacing w:val="-4"/>
        </w:rPr>
        <w:t>（七）</w:t>
      </w:r>
      <w:r>
        <w:rPr>
          <w:spacing w:val="-5"/>
        </w:rPr>
        <w:t>项目研究成果二次鉴定仍不合格；</w:t>
      </w:r>
    </w:p>
    <w:p>
      <w:pPr>
        <w:pStyle w:val="BodyText"/>
        <w:spacing w:before="145"/>
        <w:ind w:left="747"/>
        <w:rPr>
          <w:rFonts w:ascii="宋体" w:eastAsia="宋体"/>
        </w:rPr>
      </w:pPr>
      <w:r>
        <w:rPr>
          <w:rFonts w:ascii="宋体" w:eastAsia="宋体"/>
          <w:spacing w:val="-4"/>
        </w:rPr>
        <w:t>（八）</w:t>
      </w:r>
      <w:r>
        <w:rPr>
          <w:rFonts w:ascii="宋体" w:eastAsia="宋体"/>
          <w:spacing w:val="-5"/>
        </w:rPr>
        <w:t>存在其他严重问题。</w:t>
      </w:r>
    </w:p>
    <w:p>
      <w:pPr>
        <w:spacing w:before="143"/>
        <w:ind w:left="747" w:right="0" w:firstLine="0"/>
        <w:jc w:val="left"/>
        <w:rPr>
          <w:sz w:val="32"/>
        </w:rPr>
      </w:pPr>
      <w:r>
        <w:rPr>
          <w:b/>
          <w:spacing w:val="12"/>
          <w:sz w:val="32"/>
        </w:rPr>
        <w:t>第三十八条  </w:t>
      </w:r>
      <w:r>
        <w:rPr>
          <w:spacing w:val="-6"/>
          <w:sz w:val="32"/>
        </w:rPr>
        <w:t>被终止项目的负责人 </w:t>
      </w:r>
      <w:r>
        <w:rPr>
          <w:sz w:val="32"/>
        </w:rPr>
        <w:t>3</w:t>
      </w:r>
      <w:r>
        <w:rPr>
          <w:spacing w:val="-9"/>
          <w:sz w:val="32"/>
        </w:rPr>
        <w:t> 年内不得申请新的北</w:t>
      </w:r>
    </w:p>
    <w:p>
      <w:pPr>
        <w:pStyle w:val="BodyText"/>
        <w:spacing w:line="324" w:lineRule="auto" w:before="144"/>
        <w:ind w:right="393"/>
        <w:jc w:val="both"/>
      </w:pPr>
      <w:r>
        <w:rPr>
          <w:spacing w:val="-17"/>
        </w:rPr>
        <w:t>京社科基金项目，被撤销项目的负责人 </w:t>
      </w:r>
      <w:r>
        <w:rPr>
          <w:spacing w:val="-4"/>
        </w:rPr>
        <w:t>5</w:t>
      </w:r>
      <w:r>
        <w:rPr>
          <w:spacing w:val="-10"/>
        </w:rPr>
        <w:t> 年内不得申请新的北京</w:t>
      </w:r>
      <w:r>
        <w:rPr>
          <w:spacing w:val="-6"/>
        </w:rPr>
        <w:t>社科基金项目。被终止或撤销的项目，其研究成果在出版、发表</w:t>
      </w:r>
      <w:r>
        <w:rPr>
          <w:spacing w:val="-10"/>
        </w:rPr>
        <w:t>或内部印刷时不得使用“北京市社会科学基金项目研究成果”字</w:t>
      </w:r>
      <w:r>
        <w:rPr>
          <w:spacing w:val="-6"/>
        </w:rPr>
        <w:t>样。</w:t>
      </w:r>
    </w:p>
    <w:p>
      <w:pPr>
        <w:pStyle w:val="BodyText"/>
        <w:spacing w:before="151"/>
        <w:ind w:left="0" w:right="287"/>
        <w:jc w:val="center"/>
        <w:rPr>
          <w:rFonts w:ascii="黑体" w:eastAsia="黑体"/>
        </w:rPr>
      </w:pPr>
      <w:r>
        <w:rPr>
          <w:rFonts w:ascii="黑体" w:eastAsia="黑体"/>
        </w:rPr>
        <w:t>第七章</w:t>
      </w:r>
      <w:r>
        <w:rPr>
          <w:rFonts w:ascii="黑体" w:eastAsia="黑体"/>
          <w:spacing w:val="75"/>
          <w:w w:val="150"/>
        </w:rPr>
        <w:t> </w:t>
      </w:r>
      <w:r>
        <w:rPr>
          <w:rFonts w:ascii="黑体" w:eastAsia="黑体"/>
        </w:rPr>
        <w:t>附</w:t>
      </w:r>
      <w:r>
        <w:rPr>
          <w:rFonts w:ascii="黑体" w:eastAsia="黑体"/>
          <w:spacing w:val="74"/>
          <w:w w:val="150"/>
        </w:rPr>
        <w:t> </w:t>
      </w:r>
      <w:r>
        <w:rPr>
          <w:rFonts w:ascii="黑体" w:eastAsia="黑体"/>
          <w:spacing w:val="-10"/>
        </w:rPr>
        <w:t>则</w:t>
      </w:r>
    </w:p>
    <w:p>
      <w:pPr>
        <w:pStyle w:val="BodyText"/>
        <w:spacing w:line="321" w:lineRule="auto" w:before="299"/>
        <w:ind w:right="393" w:firstLine="636"/>
      </w:pPr>
      <w:r>
        <w:rPr>
          <w:b/>
          <w:spacing w:val="13"/>
        </w:rPr>
        <w:t>第三十九条 </w:t>
      </w:r>
      <w:r>
        <w:rPr>
          <w:spacing w:val="-8"/>
        </w:rPr>
        <w:t>本办法自发布之日起施行，由市社科联、市社</w:t>
      </w:r>
      <w:r>
        <w:rPr>
          <w:spacing w:val="-2"/>
        </w:rPr>
        <w:t>科规划办负责解释。</w:t>
      </w:r>
    </w:p>
    <w:sectPr>
      <w:pgSz w:w="11910" w:h="16840"/>
      <w:pgMar w:header="0" w:footer="1442" w:top="1920" w:bottom="1640" w:left="14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仿宋">
    <w:altName w:val="仿宋"/>
    <w:charset w:val="86"/>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11040">
              <wp:simplePos x="0" y="0"/>
              <wp:positionH relativeFrom="page">
                <wp:posOffset>3536696</wp:posOffset>
              </wp:positionH>
              <wp:positionV relativeFrom="page">
                <wp:posOffset>9636960</wp:posOffset>
              </wp:positionV>
              <wp:extent cx="560070" cy="2038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60070" cy="203835"/>
                      </a:xfrm>
                      <a:prstGeom prst="rect">
                        <a:avLst/>
                      </a:prstGeom>
                    </wps:spPr>
                    <wps:txbx>
                      <w:txbxContent>
                        <w:p>
                          <w:pPr>
                            <w:spacing w:line="321" w:lineRule="exact" w:before="0"/>
                            <w:ind w:left="20" w:right="0" w:firstLine="0"/>
                            <w:jc w:val="left"/>
                            <w:rPr>
                              <w:rFonts w:ascii="宋体"/>
                              <w:sz w:val="28"/>
                            </w:rPr>
                          </w:pPr>
                          <w:r>
                            <w:rPr>
                              <w:rFonts w:ascii="宋体"/>
                              <w:sz w:val="28"/>
                            </w:rPr>
                            <w:t>- </w:t>
                          </w:r>
                          <w:r>
                            <w:rPr>
                              <w:rFonts w:ascii="宋体"/>
                              <w:sz w:val="28"/>
                            </w:rPr>
                            <w:fldChar w:fldCharType="begin"/>
                          </w:r>
                          <w:r>
                            <w:rPr>
                              <w:rFonts w:ascii="宋体"/>
                              <w:sz w:val="28"/>
                            </w:rPr>
                            <w:instrText> PAGE </w:instrText>
                          </w:r>
                          <w:r>
                            <w:rPr>
                              <w:rFonts w:ascii="宋体"/>
                              <w:sz w:val="28"/>
                            </w:rPr>
                            <w:fldChar w:fldCharType="separate"/>
                          </w:r>
                          <w:r>
                            <w:rPr>
                              <w:rFonts w:ascii="宋体"/>
                              <w:sz w:val="28"/>
                            </w:rPr>
                            <w:t>10</w:t>
                          </w:r>
                          <w:r>
                            <w:rPr>
                              <w:rFonts w:ascii="宋体"/>
                              <w:sz w:val="28"/>
                            </w:rPr>
                            <w:fldChar w:fldCharType="end"/>
                          </w:r>
                          <w:r>
                            <w:rPr>
                              <w:rFonts w:ascii="宋体"/>
                              <w:sz w:val="28"/>
                            </w:rPr>
                            <w:t> </w:t>
                          </w:r>
                          <w:r>
                            <w:rPr>
                              <w:rFonts w:ascii="宋体"/>
                              <w:spacing w:val="-10"/>
                              <w:sz w:val="28"/>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8.480011pt;margin-top:758.815796pt;width:44.1pt;height:16.05pt;mso-position-horizontal-relative:page;mso-position-vertical-relative:page;z-index:-15805440" type="#_x0000_t202" id="docshape1" filled="false" stroked="false">
              <v:textbox inset="0,0,0,0">
                <w:txbxContent>
                  <w:p>
                    <w:pPr>
                      <w:spacing w:line="321" w:lineRule="exact" w:before="0"/>
                      <w:ind w:left="20" w:right="0" w:firstLine="0"/>
                      <w:jc w:val="left"/>
                      <w:rPr>
                        <w:rFonts w:ascii="宋体"/>
                        <w:sz w:val="28"/>
                      </w:rPr>
                    </w:pPr>
                    <w:r>
                      <w:rPr>
                        <w:rFonts w:ascii="宋体"/>
                        <w:sz w:val="28"/>
                      </w:rPr>
                      <w:t>- </w:t>
                    </w:r>
                    <w:r>
                      <w:rPr>
                        <w:rFonts w:ascii="宋体"/>
                        <w:sz w:val="28"/>
                      </w:rPr>
                      <w:fldChar w:fldCharType="begin"/>
                    </w:r>
                    <w:r>
                      <w:rPr>
                        <w:rFonts w:ascii="宋体"/>
                        <w:sz w:val="28"/>
                      </w:rPr>
                      <w:instrText> PAGE </w:instrText>
                    </w:r>
                    <w:r>
                      <w:rPr>
                        <w:rFonts w:ascii="宋体"/>
                        <w:sz w:val="28"/>
                      </w:rPr>
                      <w:fldChar w:fldCharType="separate"/>
                    </w:r>
                    <w:r>
                      <w:rPr>
                        <w:rFonts w:ascii="宋体"/>
                        <w:sz w:val="28"/>
                      </w:rPr>
                      <w:t>10</w:t>
                    </w:r>
                    <w:r>
                      <w:rPr>
                        <w:rFonts w:ascii="宋体"/>
                        <w:sz w:val="28"/>
                      </w:rPr>
                      <w:fldChar w:fldCharType="end"/>
                    </w:r>
                    <w:r>
                      <w:rPr>
                        <w:rFonts w:ascii="宋体"/>
                        <w:sz w:val="28"/>
                      </w:rPr>
                      <w:t> </w:t>
                    </w:r>
                    <w:r>
                      <w:rPr>
                        <w:rFonts w:ascii="宋体"/>
                        <w:spacing w:val="-10"/>
                        <w:sz w:val="28"/>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548" w:hanging="802"/>
        <w:jc w:val="left"/>
      </w:pPr>
      <w:rPr>
        <w:rFonts w:hint="default" w:ascii="仿宋" w:hAnsi="仿宋" w:eastAsia="仿宋" w:cs="仿宋"/>
        <w:b w:val="0"/>
        <w:bCs w:val="0"/>
        <w:i w:val="0"/>
        <w:iCs w:val="0"/>
        <w:spacing w:val="-2"/>
        <w:w w:val="99"/>
        <w:sz w:val="30"/>
        <w:szCs w:val="30"/>
        <w:lang w:val="en-US" w:eastAsia="zh-CN" w:bidi="ar-SA"/>
      </w:rPr>
    </w:lvl>
    <w:lvl w:ilvl="1">
      <w:start w:val="0"/>
      <w:numFmt w:val="bullet"/>
      <w:lvlText w:val="•"/>
      <w:lvlJc w:val="left"/>
      <w:pPr>
        <w:ind w:left="2320" w:hanging="802"/>
      </w:pPr>
      <w:rPr>
        <w:rFonts w:hint="default"/>
        <w:lang w:val="en-US" w:eastAsia="zh-CN" w:bidi="ar-SA"/>
      </w:rPr>
    </w:lvl>
    <w:lvl w:ilvl="2">
      <w:start w:val="0"/>
      <w:numFmt w:val="bullet"/>
      <w:lvlText w:val="•"/>
      <w:lvlJc w:val="left"/>
      <w:pPr>
        <w:ind w:left="3101" w:hanging="802"/>
      </w:pPr>
      <w:rPr>
        <w:rFonts w:hint="default"/>
        <w:lang w:val="en-US" w:eastAsia="zh-CN" w:bidi="ar-SA"/>
      </w:rPr>
    </w:lvl>
    <w:lvl w:ilvl="3">
      <w:start w:val="0"/>
      <w:numFmt w:val="bullet"/>
      <w:lvlText w:val="•"/>
      <w:lvlJc w:val="left"/>
      <w:pPr>
        <w:ind w:left="3881" w:hanging="802"/>
      </w:pPr>
      <w:rPr>
        <w:rFonts w:hint="default"/>
        <w:lang w:val="en-US" w:eastAsia="zh-CN" w:bidi="ar-SA"/>
      </w:rPr>
    </w:lvl>
    <w:lvl w:ilvl="4">
      <w:start w:val="0"/>
      <w:numFmt w:val="bullet"/>
      <w:lvlText w:val="•"/>
      <w:lvlJc w:val="left"/>
      <w:pPr>
        <w:ind w:left="4662" w:hanging="802"/>
      </w:pPr>
      <w:rPr>
        <w:rFonts w:hint="default"/>
        <w:lang w:val="en-US" w:eastAsia="zh-CN" w:bidi="ar-SA"/>
      </w:rPr>
    </w:lvl>
    <w:lvl w:ilvl="5">
      <w:start w:val="0"/>
      <w:numFmt w:val="bullet"/>
      <w:lvlText w:val="•"/>
      <w:lvlJc w:val="left"/>
      <w:pPr>
        <w:ind w:left="5443" w:hanging="802"/>
      </w:pPr>
      <w:rPr>
        <w:rFonts w:hint="default"/>
        <w:lang w:val="en-US" w:eastAsia="zh-CN" w:bidi="ar-SA"/>
      </w:rPr>
    </w:lvl>
    <w:lvl w:ilvl="6">
      <w:start w:val="0"/>
      <w:numFmt w:val="bullet"/>
      <w:lvlText w:val="•"/>
      <w:lvlJc w:val="left"/>
      <w:pPr>
        <w:ind w:left="6223" w:hanging="802"/>
      </w:pPr>
      <w:rPr>
        <w:rFonts w:hint="default"/>
        <w:lang w:val="en-US" w:eastAsia="zh-CN" w:bidi="ar-SA"/>
      </w:rPr>
    </w:lvl>
    <w:lvl w:ilvl="7">
      <w:start w:val="0"/>
      <w:numFmt w:val="bullet"/>
      <w:lvlText w:val="•"/>
      <w:lvlJc w:val="left"/>
      <w:pPr>
        <w:ind w:left="7004" w:hanging="802"/>
      </w:pPr>
      <w:rPr>
        <w:rFonts w:hint="default"/>
        <w:lang w:val="en-US" w:eastAsia="zh-CN" w:bidi="ar-SA"/>
      </w:rPr>
    </w:lvl>
    <w:lvl w:ilvl="8">
      <w:start w:val="0"/>
      <w:numFmt w:val="bullet"/>
      <w:lvlText w:val="•"/>
      <w:lvlJc w:val="left"/>
      <w:pPr>
        <w:ind w:left="7784" w:hanging="802"/>
      </w:pPr>
      <w:rPr>
        <w:rFonts w:hint="default"/>
        <w:lang w:val="en-US" w:eastAsia="zh-CN" w:bidi="ar-SA"/>
      </w:rPr>
    </w:lvl>
  </w:abstractNum>
  <w:abstractNum w:abstractNumId="2">
    <w:multiLevelType w:val="hybridMultilevel"/>
    <w:lvl w:ilvl="0">
      <w:start w:val="1"/>
      <w:numFmt w:val="decimal"/>
      <w:lvlText w:val="（%1）"/>
      <w:lvlJc w:val="left"/>
      <w:pPr>
        <w:ind w:left="1548" w:hanging="802"/>
        <w:jc w:val="left"/>
      </w:pPr>
      <w:rPr>
        <w:rFonts w:hint="default" w:ascii="仿宋" w:hAnsi="仿宋" w:eastAsia="仿宋" w:cs="仿宋"/>
        <w:b w:val="0"/>
        <w:bCs w:val="0"/>
        <w:i w:val="0"/>
        <w:iCs w:val="0"/>
        <w:spacing w:val="-2"/>
        <w:w w:val="99"/>
        <w:sz w:val="30"/>
        <w:szCs w:val="30"/>
        <w:lang w:val="en-US" w:eastAsia="zh-CN" w:bidi="ar-SA"/>
      </w:rPr>
    </w:lvl>
    <w:lvl w:ilvl="1">
      <w:start w:val="0"/>
      <w:numFmt w:val="bullet"/>
      <w:lvlText w:val="•"/>
      <w:lvlJc w:val="left"/>
      <w:pPr>
        <w:ind w:left="2320" w:hanging="802"/>
      </w:pPr>
      <w:rPr>
        <w:rFonts w:hint="default"/>
        <w:lang w:val="en-US" w:eastAsia="zh-CN" w:bidi="ar-SA"/>
      </w:rPr>
    </w:lvl>
    <w:lvl w:ilvl="2">
      <w:start w:val="0"/>
      <w:numFmt w:val="bullet"/>
      <w:lvlText w:val="•"/>
      <w:lvlJc w:val="left"/>
      <w:pPr>
        <w:ind w:left="3101" w:hanging="802"/>
      </w:pPr>
      <w:rPr>
        <w:rFonts w:hint="default"/>
        <w:lang w:val="en-US" w:eastAsia="zh-CN" w:bidi="ar-SA"/>
      </w:rPr>
    </w:lvl>
    <w:lvl w:ilvl="3">
      <w:start w:val="0"/>
      <w:numFmt w:val="bullet"/>
      <w:lvlText w:val="•"/>
      <w:lvlJc w:val="left"/>
      <w:pPr>
        <w:ind w:left="3881" w:hanging="802"/>
      </w:pPr>
      <w:rPr>
        <w:rFonts w:hint="default"/>
        <w:lang w:val="en-US" w:eastAsia="zh-CN" w:bidi="ar-SA"/>
      </w:rPr>
    </w:lvl>
    <w:lvl w:ilvl="4">
      <w:start w:val="0"/>
      <w:numFmt w:val="bullet"/>
      <w:lvlText w:val="•"/>
      <w:lvlJc w:val="left"/>
      <w:pPr>
        <w:ind w:left="4662" w:hanging="802"/>
      </w:pPr>
      <w:rPr>
        <w:rFonts w:hint="default"/>
        <w:lang w:val="en-US" w:eastAsia="zh-CN" w:bidi="ar-SA"/>
      </w:rPr>
    </w:lvl>
    <w:lvl w:ilvl="5">
      <w:start w:val="0"/>
      <w:numFmt w:val="bullet"/>
      <w:lvlText w:val="•"/>
      <w:lvlJc w:val="left"/>
      <w:pPr>
        <w:ind w:left="5443" w:hanging="802"/>
      </w:pPr>
      <w:rPr>
        <w:rFonts w:hint="default"/>
        <w:lang w:val="en-US" w:eastAsia="zh-CN" w:bidi="ar-SA"/>
      </w:rPr>
    </w:lvl>
    <w:lvl w:ilvl="6">
      <w:start w:val="0"/>
      <w:numFmt w:val="bullet"/>
      <w:lvlText w:val="•"/>
      <w:lvlJc w:val="left"/>
      <w:pPr>
        <w:ind w:left="6223" w:hanging="802"/>
      </w:pPr>
      <w:rPr>
        <w:rFonts w:hint="default"/>
        <w:lang w:val="en-US" w:eastAsia="zh-CN" w:bidi="ar-SA"/>
      </w:rPr>
    </w:lvl>
    <w:lvl w:ilvl="7">
      <w:start w:val="0"/>
      <w:numFmt w:val="bullet"/>
      <w:lvlText w:val="•"/>
      <w:lvlJc w:val="left"/>
      <w:pPr>
        <w:ind w:left="7004" w:hanging="802"/>
      </w:pPr>
      <w:rPr>
        <w:rFonts w:hint="default"/>
        <w:lang w:val="en-US" w:eastAsia="zh-CN" w:bidi="ar-SA"/>
      </w:rPr>
    </w:lvl>
    <w:lvl w:ilvl="8">
      <w:start w:val="0"/>
      <w:numFmt w:val="bullet"/>
      <w:lvlText w:val="•"/>
      <w:lvlJc w:val="left"/>
      <w:pPr>
        <w:ind w:left="7784" w:hanging="802"/>
      </w:pPr>
      <w:rPr>
        <w:rFonts w:hint="default"/>
        <w:lang w:val="en-US" w:eastAsia="zh-CN" w:bidi="ar-SA"/>
      </w:rPr>
    </w:lvl>
  </w:abstractNum>
  <w:abstractNum w:abstractNumId="1">
    <w:multiLevelType w:val="hybridMultilevel"/>
    <w:lvl w:ilvl="0">
      <w:start w:val="1"/>
      <w:numFmt w:val="decimal"/>
      <w:lvlText w:val="（%1）"/>
      <w:lvlJc w:val="left"/>
      <w:pPr>
        <w:ind w:left="1548" w:hanging="802"/>
        <w:jc w:val="left"/>
      </w:pPr>
      <w:rPr>
        <w:rFonts w:hint="default" w:ascii="仿宋" w:hAnsi="仿宋" w:eastAsia="仿宋" w:cs="仿宋"/>
        <w:b w:val="0"/>
        <w:bCs w:val="0"/>
        <w:i w:val="0"/>
        <w:iCs w:val="0"/>
        <w:spacing w:val="-2"/>
        <w:w w:val="88"/>
        <w:sz w:val="30"/>
        <w:szCs w:val="30"/>
        <w:lang w:val="en-US" w:eastAsia="zh-CN" w:bidi="ar-SA"/>
      </w:rPr>
    </w:lvl>
    <w:lvl w:ilvl="1">
      <w:start w:val="0"/>
      <w:numFmt w:val="bullet"/>
      <w:lvlText w:val="•"/>
      <w:lvlJc w:val="left"/>
      <w:pPr>
        <w:ind w:left="2320" w:hanging="802"/>
      </w:pPr>
      <w:rPr>
        <w:rFonts w:hint="default"/>
        <w:lang w:val="en-US" w:eastAsia="zh-CN" w:bidi="ar-SA"/>
      </w:rPr>
    </w:lvl>
    <w:lvl w:ilvl="2">
      <w:start w:val="0"/>
      <w:numFmt w:val="bullet"/>
      <w:lvlText w:val="•"/>
      <w:lvlJc w:val="left"/>
      <w:pPr>
        <w:ind w:left="3101" w:hanging="802"/>
      </w:pPr>
      <w:rPr>
        <w:rFonts w:hint="default"/>
        <w:lang w:val="en-US" w:eastAsia="zh-CN" w:bidi="ar-SA"/>
      </w:rPr>
    </w:lvl>
    <w:lvl w:ilvl="3">
      <w:start w:val="0"/>
      <w:numFmt w:val="bullet"/>
      <w:lvlText w:val="•"/>
      <w:lvlJc w:val="left"/>
      <w:pPr>
        <w:ind w:left="3881" w:hanging="802"/>
      </w:pPr>
      <w:rPr>
        <w:rFonts w:hint="default"/>
        <w:lang w:val="en-US" w:eastAsia="zh-CN" w:bidi="ar-SA"/>
      </w:rPr>
    </w:lvl>
    <w:lvl w:ilvl="4">
      <w:start w:val="0"/>
      <w:numFmt w:val="bullet"/>
      <w:lvlText w:val="•"/>
      <w:lvlJc w:val="left"/>
      <w:pPr>
        <w:ind w:left="4662" w:hanging="802"/>
      </w:pPr>
      <w:rPr>
        <w:rFonts w:hint="default"/>
        <w:lang w:val="en-US" w:eastAsia="zh-CN" w:bidi="ar-SA"/>
      </w:rPr>
    </w:lvl>
    <w:lvl w:ilvl="5">
      <w:start w:val="0"/>
      <w:numFmt w:val="bullet"/>
      <w:lvlText w:val="•"/>
      <w:lvlJc w:val="left"/>
      <w:pPr>
        <w:ind w:left="5443" w:hanging="802"/>
      </w:pPr>
      <w:rPr>
        <w:rFonts w:hint="default"/>
        <w:lang w:val="en-US" w:eastAsia="zh-CN" w:bidi="ar-SA"/>
      </w:rPr>
    </w:lvl>
    <w:lvl w:ilvl="6">
      <w:start w:val="0"/>
      <w:numFmt w:val="bullet"/>
      <w:lvlText w:val="•"/>
      <w:lvlJc w:val="left"/>
      <w:pPr>
        <w:ind w:left="6223" w:hanging="802"/>
      </w:pPr>
      <w:rPr>
        <w:rFonts w:hint="default"/>
        <w:lang w:val="en-US" w:eastAsia="zh-CN" w:bidi="ar-SA"/>
      </w:rPr>
    </w:lvl>
    <w:lvl w:ilvl="7">
      <w:start w:val="0"/>
      <w:numFmt w:val="bullet"/>
      <w:lvlText w:val="•"/>
      <w:lvlJc w:val="left"/>
      <w:pPr>
        <w:ind w:left="7004" w:hanging="802"/>
      </w:pPr>
      <w:rPr>
        <w:rFonts w:hint="default"/>
        <w:lang w:val="en-US" w:eastAsia="zh-CN" w:bidi="ar-SA"/>
      </w:rPr>
    </w:lvl>
    <w:lvl w:ilvl="8">
      <w:start w:val="0"/>
      <w:numFmt w:val="bullet"/>
      <w:lvlText w:val="•"/>
      <w:lvlJc w:val="left"/>
      <w:pPr>
        <w:ind w:left="7784" w:hanging="802"/>
      </w:pPr>
      <w:rPr>
        <w:rFonts w:hint="default"/>
        <w:lang w:val="en-US" w:eastAsia="zh-CN" w:bidi="ar-SA"/>
      </w:rPr>
    </w:lvl>
  </w:abstractNum>
  <w:abstractNum w:abstractNumId="0">
    <w:multiLevelType w:val="hybridMultilevel"/>
    <w:lvl w:ilvl="0">
      <w:start w:val="1"/>
      <w:numFmt w:val="decimal"/>
      <w:lvlText w:val="%1."/>
      <w:lvlJc w:val="left"/>
      <w:pPr>
        <w:ind w:left="1068" w:hanging="322"/>
        <w:jc w:val="left"/>
      </w:pPr>
      <w:rPr>
        <w:rFonts w:hint="default" w:ascii="仿宋" w:hAnsi="仿宋" w:eastAsia="仿宋" w:cs="仿宋"/>
        <w:b/>
        <w:bCs/>
        <w:i w:val="0"/>
        <w:iCs w:val="0"/>
        <w:spacing w:val="1"/>
        <w:w w:val="97"/>
        <w:sz w:val="30"/>
        <w:szCs w:val="30"/>
        <w:lang w:val="en-US" w:eastAsia="zh-CN" w:bidi="ar-SA"/>
      </w:rPr>
    </w:lvl>
    <w:lvl w:ilvl="1">
      <w:start w:val="0"/>
      <w:numFmt w:val="bullet"/>
      <w:lvlText w:val="•"/>
      <w:lvlJc w:val="left"/>
      <w:pPr>
        <w:ind w:left="1888" w:hanging="322"/>
      </w:pPr>
      <w:rPr>
        <w:rFonts w:hint="default"/>
        <w:lang w:val="en-US" w:eastAsia="zh-CN" w:bidi="ar-SA"/>
      </w:rPr>
    </w:lvl>
    <w:lvl w:ilvl="2">
      <w:start w:val="0"/>
      <w:numFmt w:val="bullet"/>
      <w:lvlText w:val="•"/>
      <w:lvlJc w:val="left"/>
      <w:pPr>
        <w:ind w:left="2717" w:hanging="322"/>
      </w:pPr>
      <w:rPr>
        <w:rFonts w:hint="default"/>
        <w:lang w:val="en-US" w:eastAsia="zh-CN" w:bidi="ar-SA"/>
      </w:rPr>
    </w:lvl>
    <w:lvl w:ilvl="3">
      <w:start w:val="0"/>
      <w:numFmt w:val="bullet"/>
      <w:lvlText w:val="•"/>
      <w:lvlJc w:val="left"/>
      <w:pPr>
        <w:ind w:left="3545" w:hanging="322"/>
      </w:pPr>
      <w:rPr>
        <w:rFonts w:hint="default"/>
        <w:lang w:val="en-US" w:eastAsia="zh-CN" w:bidi="ar-SA"/>
      </w:rPr>
    </w:lvl>
    <w:lvl w:ilvl="4">
      <w:start w:val="0"/>
      <w:numFmt w:val="bullet"/>
      <w:lvlText w:val="•"/>
      <w:lvlJc w:val="left"/>
      <w:pPr>
        <w:ind w:left="4374" w:hanging="322"/>
      </w:pPr>
      <w:rPr>
        <w:rFonts w:hint="default"/>
        <w:lang w:val="en-US" w:eastAsia="zh-CN" w:bidi="ar-SA"/>
      </w:rPr>
    </w:lvl>
    <w:lvl w:ilvl="5">
      <w:start w:val="0"/>
      <w:numFmt w:val="bullet"/>
      <w:lvlText w:val="•"/>
      <w:lvlJc w:val="left"/>
      <w:pPr>
        <w:ind w:left="5203" w:hanging="322"/>
      </w:pPr>
      <w:rPr>
        <w:rFonts w:hint="default"/>
        <w:lang w:val="en-US" w:eastAsia="zh-CN" w:bidi="ar-SA"/>
      </w:rPr>
    </w:lvl>
    <w:lvl w:ilvl="6">
      <w:start w:val="0"/>
      <w:numFmt w:val="bullet"/>
      <w:lvlText w:val="•"/>
      <w:lvlJc w:val="left"/>
      <w:pPr>
        <w:ind w:left="6031" w:hanging="322"/>
      </w:pPr>
      <w:rPr>
        <w:rFonts w:hint="default"/>
        <w:lang w:val="en-US" w:eastAsia="zh-CN" w:bidi="ar-SA"/>
      </w:rPr>
    </w:lvl>
    <w:lvl w:ilvl="7">
      <w:start w:val="0"/>
      <w:numFmt w:val="bullet"/>
      <w:lvlText w:val="•"/>
      <w:lvlJc w:val="left"/>
      <w:pPr>
        <w:ind w:left="6860" w:hanging="322"/>
      </w:pPr>
      <w:rPr>
        <w:rFonts w:hint="default"/>
        <w:lang w:val="en-US" w:eastAsia="zh-CN" w:bidi="ar-SA"/>
      </w:rPr>
    </w:lvl>
    <w:lvl w:ilvl="8">
      <w:start w:val="0"/>
      <w:numFmt w:val="bullet"/>
      <w:lvlText w:val="•"/>
      <w:lvlJc w:val="left"/>
      <w:pPr>
        <w:ind w:left="7688" w:hanging="322"/>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 w:hAnsi="仿宋" w:eastAsia="仿宋" w:cs="仿宋"/>
      <w:lang w:val="en-US" w:eastAsia="zh-CN" w:bidi="ar-SA"/>
    </w:rPr>
  </w:style>
  <w:style w:styleId="BodyText" w:type="paragraph">
    <w:name w:val="Body Text"/>
    <w:basedOn w:val="Normal"/>
    <w:uiPriority w:val="1"/>
    <w:qFormat/>
    <w:pPr>
      <w:ind w:left="108"/>
    </w:pPr>
    <w:rPr>
      <w:rFonts w:ascii="仿宋" w:hAnsi="仿宋" w:eastAsia="仿宋" w:cs="仿宋"/>
      <w:sz w:val="32"/>
      <w:szCs w:val="32"/>
      <w:lang w:val="en-US" w:eastAsia="zh-CN" w:bidi="ar-SA"/>
    </w:rPr>
  </w:style>
  <w:style w:styleId="Heading1" w:type="paragraph">
    <w:name w:val="Heading 1"/>
    <w:basedOn w:val="Normal"/>
    <w:uiPriority w:val="1"/>
    <w:qFormat/>
    <w:pPr>
      <w:spacing w:before="143"/>
      <w:ind w:left="1068" w:hanging="321"/>
      <w:outlineLvl w:val="1"/>
    </w:pPr>
    <w:rPr>
      <w:rFonts w:ascii="仿宋" w:hAnsi="仿宋" w:eastAsia="仿宋" w:cs="仿宋"/>
      <w:b/>
      <w:bCs/>
      <w:sz w:val="32"/>
      <w:szCs w:val="32"/>
      <w:lang w:val="en-US" w:eastAsia="zh-CN" w:bidi="ar-SA"/>
    </w:rPr>
  </w:style>
  <w:style w:styleId="Title" w:type="paragraph">
    <w:name w:val="Title"/>
    <w:basedOn w:val="Normal"/>
    <w:uiPriority w:val="1"/>
    <w:qFormat/>
    <w:pPr>
      <w:spacing w:before="1"/>
      <w:ind w:right="287"/>
      <w:jc w:val="center"/>
    </w:pPr>
    <w:rPr>
      <w:rFonts w:ascii="宋体" w:hAnsi="宋体" w:eastAsia="宋体" w:cs="宋体"/>
      <w:sz w:val="44"/>
      <w:szCs w:val="44"/>
      <w:lang w:val="en-US" w:eastAsia="zh-CN" w:bidi="ar-SA"/>
    </w:rPr>
  </w:style>
  <w:style w:styleId="ListParagraph" w:type="paragraph">
    <w:name w:val="List Paragraph"/>
    <w:basedOn w:val="Normal"/>
    <w:uiPriority w:val="1"/>
    <w:qFormat/>
    <w:pPr>
      <w:spacing w:before="143"/>
      <w:ind w:left="1546" w:hanging="799"/>
    </w:pPr>
    <w:rPr>
      <w:rFonts w:ascii="仿宋" w:hAnsi="仿宋" w:eastAsia="仿宋" w:cs="仿宋"/>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dc:creator>
  <dc:description/>
  <dcterms:created xsi:type="dcterms:W3CDTF">2024-06-04T06:45:47Z</dcterms:created>
  <dcterms:modified xsi:type="dcterms:W3CDTF">2024-06-04T06:45:47Z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WPS 文字</vt:lpwstr>
  </property>
  <property fmtid="{D5CDD505-2E9C-101B-9397-08002B2CF9AE}" pid="4" name="LastSaved">
    <vt:filetime>2024-06-04T00:00:00Z</vt:filetime>
  </property>
  <property fmtid="{D5CDD505-2E9C-101B-9397-08002B2CF9AE}" pid="5" name="SourceModified">
    <vt:lpwstr>D:20240527141903+06'19'</vt:lpwstr>
  </property>
</Properties>
</file>