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56C36" w14:textId="77777777" w:rsidR="00312525" w:rsidRDefault="00000000">
      <w:pPr>
        <w:spacing w:beforeLines="50" w:before="156" w:afterLines="50" w:after="156" w:line="480" w:lineRule="exact"/>
        <w:ind w:left="558" w:hangingChars="155" w:hanging="558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工商管理学院ESG投资与管理微专业</w:t>
      </w:r>
    </w:p>
    <w:p w14:paraId="53E54728" w14:textId="77777777" w:rsidR="00312525" w:rsidRDefault="00000000">
      <w:pPr>
        <w:spacing w:beforeLines="50" w:before="156" w:afterLines="50" w:after="156" w:line="480" w:lineRule="exact"/>
        <w:ind w:left="558" w:hangingChars="155" w:hanging="558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人才培养方案</w:t>
      </w:r>
    </w:p>
    <w:p w14:paraId="1DE7A6D2" w14:textId="77777777" w:rsidR="0031252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一、专业培养目标</w:t>
      </w:r>
    </w:p>
    <w:p w14:paraId="5AF77F3C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ESG投资与管理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微专业</w:t>
      </w:r>
      <w:proofErr w:type="gramEnd"/>
      <w:r>
        <w:rPr>
          <w:rFonts w:ascii="仿宋" w:eastAsia="仿宋" w:hAnsi="仿宋" w:hint="eastAsia"/>
          <w:bCs/>
          <w:sz w:val="24"/>
          <w:szCs w:val="24"/>
        </w:rPr>
        <w:t>定位于培养具备现代</w:t>
      </w:r>
      <w:r>
        <w:rPr>
          <w:rFonts w:ascii="仿宋" w:eastAsia="仿宋" w:hAnsi="仿宋"/>
          <w:bCs/>
          <w:sz w:val="24"/>
          <w:szCs w:val="24"/>
        </w:rPr>
        <w:t>ESG</w:t>
      </w:r>
      <w:r>
        <w:rPr>
          <w:rFonts w:ascii="仿宋" w:eastAsia="仿宋" w:hAnsi="仿宋" w:hint="eastAsia"/>
          <w:bCs/>
          <w:sz w:val="24"/>
          <w:szCs w:val="24"/>
        </w:rPr>
        <w:t>投资与管理知识、具有运用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数智化工具</w:t>
      </w:r>
      <w:proofErr w:type="gramEnd"/>
      <w:r>
        <w:rPr>
          <w:rFonts w:ascii="仿宋" w:eastAsia="仿宋" w:hAnsi="仿宋" w:hint="eastAsia"/>
          <w:bCs/>
          <w:sz w:val="24"/>
          <w:szCs w:val="24"/>
        </w:rPr>
        <w:t>从事</w:t>
      </w:r>
      <w:r>
        <w:rPr>
          <w:rFonts w:ascii="仿宋" w:eastAsia="仿宋" w:hAnsi="仿宋"/>
          <w:bCs/>
          <w:sz w:val="24"/>
          <w:szCs w:val="24"/>
        </w:rPr>
        <w:t>ESG</w:t>
      </w:r>
      <w:r>
        <w:rPr>
          <w:rFonts w:ascii="仿宋" w:eastAsia="仿宋" w:hAnsi="仿宋" w:hint="eastAsia"/>
          <w:bCs/>
          <w:sz w:val="24"/>
          <w:szCs w:val="24"/>
        </w:rPr>
        <w:t>投资与管理能力、胜任支撑经济高质量发展工作的高素质、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数智化</w:t>
      </w:r>
      <w:proofErr w:type="gramEnd"/>
      <w:r>
        <w:rPr>
          <w:rFonts w:ascii="仿宋" w:eastAsia="仿宋" w:hAnsi="仿宋"/>
          <w:bCs/>
          <w:sz w:val="24"/>
          <w:szCs w:val="24"/>
        </w:rPr>
        <w:t>ESG</w:t>
      </w:r>
      <w:r>
        <w:rPr>
          <w:rFonts w:ascii="仿宋" w:eastAsia="仿宋" w:hAnsi="仿宋" w:hint="eastAsia"/>
          <w:bCs/>
          <w:sz w:val="24"/>
          <w:szCs w:val="24"/>
        </w:rPr>
        <w:t>人才。可具体细化为以下三方面的培养目标：</w:t>
      </w:r>
    </w:p>
    <w:p w14:paraId="63D8FC6F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（1）培养具备扎实ESG投资与管理能力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的数智化</w:t>
      </w:r>
      <w:proofErr w:type="gramEnd"/>
      <w:r>
        <w:rPr>
          <w:rFonts w:ascii="仿宋" w:eastAsia="仿宋" w:hAnsi="仿宋" w:hint="eastAsia"/>
          <w:bCs/>
          <w:sz w:val="24"/>
          <w:szCs w:val="24"/>
        </w:rPr>
        <w:t>应用型人才。让学生系统掌握ESG投资与管理方向的基础理论、专业知识和基本方法，具备承担ESG投资与管理及相关工作的能力；</w:t>
      </w:r>
    </w:p>
    <w:p w14:paraId="16590DC9" w14:textId="28221E35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（2）培养具备现代ESG投资与管理知识同时兼具金融、管理知识的复合型人才。依托工商管理学院的优势师资，有目的地设置ESG投资与管理方向课程，注重推高学生的交叉学科思维，培养高层次、高视野的ESG投资</w:t>
      </w:r>
      <w:r w:rsidR="002423B1">
        <w:rPr>
          <w:rFonts w:ascii="仿宋" w:eastAsia="仿宋" w:hAnsi="仿宋" w:hint="eastAsia"/>
          <w:bCs/>
          <w:sz w:val="24"/>
          <w:szCs w:val="24"/>
        </w:rPr>
        <w:t>与</w:t>
      </w:r>
      <w:r>
        <w:rPr>
          <w:rFonts w:ascii="仿宋" w:eastAsia="仿宋" w:hAnsi="仿宋" w:hint="eastAsia"/>
          <w:bCs/>
          <w:sz w:val="24"/>
          <w:szCs w:val="24"/>
        </w:rPr>
        <w:t>管理人才；</w:t>
      </w:r>
    </w:p>
    <w:p w14:paraId="71729B3A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（3）培养学生创新创业能力。坚持案例教学与理论教学相结合，最大程度地保证理论联系实践、着重培养和锻炼学生应用理论工具的能力，加强对学生实践能力和创新能力的培养。</w:t>
      </w:r>
    </w:p>
    <w:p w14:paraId="54B9FDA6" w14:textId="77777777" w:rsidR="0031252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二、毕业要求</w:t>
      </w:r>
    </w:p>
    <w:p w14:paraId="7E44B3A0" w14:textId="3FEDB25E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1.</w:t>
      </w:r>
      <w:r w:rsidR="002423B1"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系统掌握ESG投资与管理的基本理论与方法，掌握ESG投资的规律和特点，掌握ESG管理的原理和方法，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理解数智化</w:t>
      </w:r>
      <w:proofErr w:type="gramEnd"/>
      <w:r>
        <w:rPr>
          <w:rFonts w:ascii="仿宋" w:eastAsia="仿宋" w:hAnsi="仿宋" w:hint="eastAsia"/>
          <w:bCs/>
          <w:sz w:val="24"/>
          <w:szCs w:val="24"/>
        </w:rPr>
        <w:t>在ESG投资与管理中的应用，具备从事ESG投资与管理相关工作的知识储备和理论素养，提升ESG投资与管理理论水平；</w:t>
      </w:r>
    </w:p>
    <w:p w14:paraId="2CABF7AA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2. 系统掌握ESG投资与管理的工具和技能，具备ESG投资分析与实操能力以及企业ESG管理与实践能力，能够将所学知识用于解释、分析和评价ESG投资与管理实践中的具体现象和问题，并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与数智化</w:t>
      </w:r>
      <w:proofErr w:type="gramEnd"/>
      <w:r>
        <w:rPr>
          <w:rFonts w:ascii="仿宋" w:eastAsia="仿宋" w:hAnsi="仿宋" w:hint="eastAsia"/>
          <w:bCs/>
          <w:sz w:val="24"/>
          <w:szCs w:val="24"/>
        </w:rPr>
        <w:t>分析工具有机结合，在此基础上提出相应对策和建议、并形成解决方案，提升ESG投资与管理实践能力；</w:t>
      </w:r>
    </w:p>
    <w:p w14:paraId="5C48F605" w14:textId="765AE461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3. 系统掌握ESG投资与管理这一新兴专业与金融学、投资学、财务管理等传统专业之间的关系，能够将ESG投资与管理知识与其他学科知识融会贯通，运用</w:t>
      </w:r>
      <w:r w:rsidR="002423B1">
        <w:rPr>
          <w:rFonts w:ascii="仿宋" w:eastAsia="仿宋" w:hAnsi="仿宋" w:hint="eastAsia"/>
          <w:bCs/>
          <w:sz w:val="24"/>
          <w:szCs w:val="24"/>
        </w:rPr>
        <w:t>交叉</w:t>
      </w:r>
      <w:r>
        <w:rPr>
          <w:rFonts w:ascii="仿宋" w:eastAsia="仿宋" w:hAnsi="仿宋" w:hint="eastAsia"/>
          <w:bCs/>
          <w:sz w:val="24"/>
          <w:szCs w:val="24"/>
        </w:rPr>
        <w:t>学科思维、应用交叉学科知识、使用交叉学科工具分析和解决现实中的ESG投资与管理问题；</w:t>
      </w:r>
    </w:p>
    <w:p w14:paraId="7612FFAB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4. 团队协作精神得到提升，人文素养和科学精神得到加强，能够在本学科及多学科团队活动中发挥个人能力，并能与其他成员进行协调合作，能够在本专业领域实践活动中理解并遵守职业道德和职业规范。</w:t>
      </w:r>
    </w:p>
    <w:p w14:paraId="51E74BDD" w14:textId="77777777" w:rsidR="0031252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三、招生对象与条件</w:t>
      </w:r>
    </w:p>
    <w:p w14:paraId="31564A28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ESG投资与管理</w:t>
      </w:r>
      <w:proofErr w:type="gramStart"/>
      <w:r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>
        <w:rPr>
          <w:rFonts w:ascii="仿宋" w:eastAsia="仿宋" w:hAnsi="仿宋" w:hint="eastAsia"/>
          <w:color w:val="000000" w:themeColor="text1"/>
          <w:sz w:val="24"/>
          <w:szCs w:val="24"/>
        </w:rPr>
        <w:t>的学生选拔将在全校范围内进行，招生对象为管理类专业和经济类专业大</w:t>
      </w:r>
      <w:proofErr w:type="gramStart"/>
      <w:r>
        <w:rPr>
          <w:rFonts w:ascii="仿宋" w:eastAsia="仿宋" w:hAnsi="仿宋" w:hint="eastAsia"/>
          <w:color w:val="000000" w:themeColor="text1"/>
          <w:sz w:val="24"/>
          <w:szCs w:val="24"/>
        </w:rPr>
        <w:t>一</w:t>
      </w:r>
      <w:proofErr w:type="gramEnd"/>
      <w:r>
        <w:rPr>
          <w:rFonts w:ascii="仿宋" w:eastAsia="仿宋" w:hAnsi="仿宋" w:hint="eastAsia"/>
          <w:color w:val="000000" w:themeColor="text1"/>
          <w:sz w:val="24"/>
          <w:szCs w:val="24"/>
        </w:rPr>
        <w:t>至大三年级的全日制普通在校本科生。</w:t>
      </w:r>
    </w:p>
    <w:p w14:paraId="5667B772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修读ESG投资与管理</w:t>
      </w:r>
      <w:proofErr w:type="gramStart"/>
      <w:r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>
        <w:rPr>
          <w:rFonts w:ascii="仿宋" w:eastAsia="仿宋" w:hAnsi="仿宋" w:hint="eastAsia"/>
          <w:color w:val="000000" w:themeColor="text1"/>
          <w:sz w:val="24"/>
          <w:szCs w:val="24"/>
        </w:rPr>
        <w:t>的本科生需要完成管理学、经济学原理、财务管理学、金融学、投资学等先修课程的学习和考核。</w:t>
      </w:r>
    </w:p>
    <w:p w14:paraId="63F5853A" w14:textId="77777777" w:rsidR="0031252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四、学分与证书</w:t>
      </w:r>
    </w:p>
    <w:p w14:paraId="5D04E2BA" w14:textId="77777777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ESG投资与管理</w:t>
      </w:r>
      <w:proofErr w:type="gramStart"/>
      <w:r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>
        <w:rPr>
          <w:rFonts w:ascii="仿宋" w:eastAsia="仿宋" w:hAnsi="仿宋" w:hint="eastAsia"/>
          <w:color w:val="000000" w:themeColor="text1"/>
          <w:sz w:val="24"/>
          <w:szCs w:val="24"/>
        </w:rPr>
        <w:t>的学制为2个学期。核心课程共计8门，共1</w:t>
      </w:r>
      <w:r>
        <w:rPr>
          <w:rFonts w:ascii="仿宋" w:eastAsia="仿宋" w:hAnsi="仿宋"/>
          <w:color w:val="000000" w:themeColor="text1"/>
          <w:sz w:val="24"/>
          <w:szCs w:val="24"/>
        </w:rPr>
        <w:t>6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学分，分别为：ESG理论与实践（2学分）、ESG投资理论与实践（2学分）、ESG数字化战略（2学分）、ESG报告与信息披露管理（2学分）、企业ESG管理（2学分）、气候风险智能管理（2学分）、绿色</w:t>
      </w:r>
      <w:proofErr w:type="gramStart"/>
      <w:r>
        <w:rPr>
          <w:rFonts w:ascii="仿宋" w:eastAsia="仿宋" w:hAnsi="仿宋" w:hint="eastAsia"/>
          <w:color w:val="000000" w:themeColor="text1"/>
          <w:sz w:val="24"/>
          <w:szCs w:val="24"/>
        </w:rPr>
        <w:t>金融数智化</w:t>
      </w:r>
      <w:proofErr w:type="gramEnd"/>
      <w:r>
        <w:rPr>
          <w:rFonts w:ascii="仿宋" w:eastAsia="仿宋" w:hAnsi="仿宋" w:hint="eastAsia"/>
          <w:color w:val="000000" w:themeColor="text1"/>
          <w:sz w:val="24"/>
          <w:szCs w:val="24"/>
        </w:rPr>
        <w:t>分析（2学分）、ESG产教融合实践（2学分）。</w:t>
      </w:r>
    </w:p>
    <w:p w14:paraId="654B9400" w14:textId="77777777" w:rsidR="00FE7A91" w:rsidRDefault="00FE7A91" w:rsidP="00FE7A91">
      <w:pPr>
        <w:widowControl/>
        <w:spacing w:line="360" w:lineRule="auto"/>
        <w:jc w:val="center"/>
        <w:rPr>
          <w:rFonts w:ascii="仿宋" w:eastAsia="仿宋" w:hAnsi="仿宋"/>
          <w:color w:val="000000" w:themeColor="text1"/>
          <w:sz w:val="24"/>
          <w:szCs w:val="24"/>
        </w:rPr>
      </w:pPr>
    </w:p>
    <w:p w14:paraId="1F7ADF8D" w14:textId="1E16CDE3" w:rsidR="00312525" w:rsidRDefault="00FE7A91" w:rsidP="00FE7A91">
      <w:pPr>
        <w:widowControl/>
        <w:spacing w:line="360" w:lineRule="auto"/>
        <w:jc w:val="center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/>
          <w:noProof/>
          <w:color w:val="000000" w:themeColor="text1"/>
          <w:sz w:val="24"/>
          <w:szCs w:val="24"/>
        </w:rPr>
        <w:drawing>
          <wp:inline distT="0" distB="0" distL="0" distR="0" wp14:anchorId="6BE540AC" wp14:editId="39C01400">
            <wp:extent cx="5759450" cy="1970288"/>
            <wp:effectExtent l="0" t="0" r="0" b="0"/>
            <wp:docPr id="241260942" name="图片 1" descr="形状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260942" name="图片 1" descr="形状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702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3F119A" w14:textId="77777777" w:rsidR="00312525" w:rsidRDefault="00000000">
      <w:pPr>
        <w:widowControl/>
        <w:spacing w:afterLines="50" w:after="156" w:line="360" w:lineRule="auto"/>
        <w:jc w:val="center"/>
        <w:rPr>
          <w:rFonts w:ascii="仿宋" w:eastAsia="仿宋" w:hAnsi="仿宋"/>
          <w:color w:val="000000" w:themeColor="text1"/>
          <w:sz w:val="22"/>
          <w:szCs w:val="22"/>
        </w:rPr>
      </w:pPr>
      <w:r>
        <w:rPr>
          <w:rFonts w:ascii="仿宋" w:eastAsia="仿宋" w:hAnsi="仿宋" w:hint="eastAsia"/>
          <w:color w:val="000000" w:themeColor="text1"/>
          <w:sz w:val="22"/>
          <w:szCs w:val="22"/>
        </w:rPr>
        <w:t>图1</w:t>
      </w:r>
      <w:r>
        <w:rPr>
          <w:rFonts w:ascii="仿宋" w:eastAsia="仿宋" w:hAnsi="仿宋"/>
          <w:color w:val="000000" w:themeColor="text1"/>
          <w:sz w:val="22"/>
          <w:szCs w:val="22"/>
        </w:rPr>
        <w:t xml:space="preserve"> </w:t>
      </w:r>
      <w:r>
        <w:rPr>
          <w:rFonts w:ascii="仿宋" w:eastAsia="仿宋" w:hAnsi="仿宋" w:hint="eastAsia"/>
          <w:color w:val="000000" w:themeColor="text1"/>
          <w:sz w:val="22"/>
          <w:szCs w:val="22"/>
        </w:rPr>
        <w:t>ESG投资与管理</w:t>
      </w:r>
      <w:proofErr w:type="gramStart"/>
      <w:r>
        <w:rPr>
          <w:rFonts w:ascii="仿宋" w:eastAsia="仿宋" w:hAnsi="仿宋" w:hint="eastAsia"/>
          <w:color w:val="000000" w:themeColor="text1"/>
          <w:sz w:val="22"/>
          <w:szCs w:val="22"/>
        </w:rPr>
        <w:t>微专业</w:t>
      </w:r>
      <w:proofErr w:type="gramEnd"/>
      <w:r>
        <w:rPr>
          <w:rFonts w:ascii="仿宋" w:eastAsia="仿宋" w:hAnsi="仿宋" w:hint="eastAsia"/>
          <w:color w:val="000000" w:themeColor="text1"/>
          <w:sz w:val="22"/>
          <w:szCs w:val="22"/>
        </w:rPr>
        <w:t>课程体系</w:t>
      </w:r>
    </w:p>
    <w:p w14:paraId="2A932580" w14:textId="2E5F0736" w:rsidR="00312525" w:rsidRDefault="00000000">
      <w:pPr>
        <w:widowControl/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学生</w:t>
      </w:r>
      <w:r w:rsidR="002423B1">
        <w:rPr>
          <w:rFonts w:ascii="仿宋" w:eastAsia="仿宋" w:hAnsi="仿宋" w:hint="eastAsia"/>
          <w:color w:val="000000" w:themeColor="text1"/>
          <w:sz w:val="24"/>
          <w:szCs w:val="24"/>
        </w:rPr>
        <w:t>完成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课程考核将形成单列成绩单，计入学生学业档案。</w:t>
      </w:r>
      <w:r>
        <w:rPr>
          <w:rFonts w:ascii="仿宋" w:eastAsia="仿宋" w:hAnsi="仿宋"/>
          <w:color w:val="000000" w:themeColor="text1"/>
          <w:sz w:val="24"/>
          <w:szCs w:val="24"/>
        </w:rPr>
        <w:t>修满规定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课程并成绩合格的学生将获得ESG投资与管理</w:t>
      </w:r>
      <w:proofErr w:type="gramStart"/>
      <w:r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>
        <w:rPr>
          <w:rFonts w:ascii="仿宋" w:eastAsia="仿宋" w:hAnsi="仿宋" w:hint="eastAsia"/>
          <w:color w:val="000000" w:themeColor="text1"/>
          <w:sz w:val="24"/>
          <w:szCs w:val="24"/>
        </w:rPr>
        <w:t>证书。</w:t>
      </w:r>
    </w:p>
    <w:p w14:paraId="6A127032" w14:textId="77777777" w:rsidR="00312525" w:rsidRDefault="00000000">
      <w:pPr>
        <w:widowControl/>
        <w:spacing w:line="360" w:lineRule="auto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br w:type="page"/>
      </w:r>
    </w:p>
    <w:p w14:paraId="6067200E" w14:textId="77777777" w:rsidR="0031252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五、课程设置</w:t>
      </w:r>
    </w:p>
    <w:p w14:paraId="6F459685" w14:textId="77777777" w:rsidR="00312525" w:rsidRDefault="00000000">
      <w:pPr>
        <w:widowControl/>
        <w:spacing w:after="156" w:line="0" w:lineRule="atLeast"/>
        <w:jc w:val="center"/>
        <w:rPr>
          <w:rFonts w:ascii="黑体" w:eastAsia="黑体" w:hAnsi="黑体" w:cs="黑体"/>
          <w:bCs/>
          <w:sz w:val="28"/>
          <w:szCs w:val="28"/>
        </w:rPr>
      </w:pPr>
      <w:bookmarkStart w:id="0" w:name="_Hlk164263039"/>
      <w:r>
        <w:rPr>
          <w:rFonts w:ascii="黑体" w:eastAsia="黑体" w:hAnsi="黑体" w:cs="黑体" w:hint="eastAsia"/>
          <w:bCs/>
          <w:sz w:val="28"/>
          <w:szCs w:val="28"/>
        </w:rPr>
        <w:t>ESG投资与管理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微专业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课程设置及教学进程计划表</w:t>
      </w: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1125"/>
        <w:gridCol w:w="490"/>
        <w:gridCol w:w="764"/>
        <w:gridCol w:w="791"/>
        <w:gridCol w:w="736"/>
        <w:gridCol w:w="723"/>
        <w:gridCol w:w="730"/>
        <w:gridCol w:w="780"/>
        <w:gridCol w:w="1230"/>
        <w:gridCol w:w="716"/>
      </w:tblGrid>
      <w:tr w:rsidR="00312525" w14:paraId="4373C872" w14:textId="77777777">
        <w:trPr>
          <w:trHeight w:val="454"/>
          <w:jc w:val="center"/>
        </w:trPr>
        <w:tc>
          <w:tcPr>
            <w:tcW w:w="1921" w:type="dxa"/>
            <w:vMerge w:val="restart"/>
            <w:vAlign w:val="center"/>
          </w:tcPr>
          <w:p w14:paraId="5BAC598F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课程名称</w:t>
            </w:r>
          </w:p>
        </w:tc>
        <w:tc>
          <w:tcPr>
            <w:tcW w:w="1125" w:type="dxa"/>
            <w:vMerge w:val="restart"/>
            <w:vAlign w:val="center"/>
          </w:tcPr>
          <w:p w14:paraId="7DF4BCDB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课程代码</w:t>
            </w:r>
          </w:p>
        </w:tc>
        <w:tc>
          <w:tcPr>
            <w:tcW w:w="490" w:type="dxa"/>
            <w:vMerge w:val="restart"/>
            <w:vAlign w:val="center"/>
          </w:tcPr>
          <w:p w14:paraId="30FE0BB4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764" w:type="dxa"/>
            <w:vMerge w:val="restart"/>
            <w:vAlign w:val="center"/>
          </w:tcPr>
          <w:p w14:paraId="1D13D2D5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/>
                <w:bCs/>
                <w:sz w:val="18"/>
                <w:szCs w:val="18"/>
              </w:rPr>
              <w:t>总学时</w:t>
            </w:r>
          </w:p>
        </w:tc>
        <w:tc>
          <w:tcPr>
            <w:tcW w:w="2980" w:type="dxa"/>
            <w:gridSpan w:val="4"/>
            <w:vAlign w:val="center"/>
          </w:tcPr>
          <w:p w14:paraId="1C8BF213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/>
                <w:bCs/>
                <w:spacing w:val="75"/>
                <w:sz w:val="18"/>
                <w:szCs w:val="18"/>
                <w:fitText w:val="840" w:id="1307458760"/>
              </w:rPr>
              <w:t>学时</w:t>
            </w:r>
            <w:r>
              <w:rPr>
                <w:rFonts w:ascii="黑体" w:eastAsia="黑体" w:hAnsi="黑体" w:hint="eastAsia"/>
                <w:bCs/>
                <w:sz w:val="18"/>
                <w:szCs w:val="18"/>
                <w:fitText w:val="840" w:id="1307458760"/>
              </w:rPr>
              <w:t>分</w:t>
            </w: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 xml:space="preserve"> 配</w:t>
            </w:r>
          </w:p>
        </w:tc>
        <w:tc>
          <w:tcPr>
            <w:tcW w:w="780" w:type="dxa"/>
            <w:vMerge w:val="restart"/>
            <w:vAlign w:val="center"/>
          </w:tcPr>
          <w:p w14:paraId="3FD27B53" w14:textId="77777777" w:rsidR="00312525" w:rsidRDefault="00000000">
            <w:pPr>
              <w:widowControl/>
              <w:snapToGrid w:val="0"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考核</w:t>
            </w:r>
          </w:p>
          <w:p w14:paraId="08D1F061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方式</w:t>
            </w:r>
          </w:p>
        </w:tc>
        <w:tc>
          <w:tcPr>
            <w:tcW w:w="1230" w:type="dxa"/>
            <w:vMerge w:val="restart"/>
            <w:vAlign w:val="center"/>
          </w:tcPr>
          <w:p w14:paraId="78FF68D1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  <w:t>开课单位</w:t>
            </w:r>
          </w:p>
        </w:tc>
        <w:tc>
          <w:tcPr>
            <w:tcW w:w="716" w:type="dxa"/>
            <w:vMerge w:val="restart"/>
            <w:vAlign w:val="center"/>
          </w:tcPr>
          <w:p w14:paraId="796500E0" w14:textId="77777777" w:rsidR="00312525" w:rsidRDefault="00000000">
            <w:pPr>
              <w:widowControl/>
              <w:snapToGrid w:val="0"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/>
                <w:bCs/>
                <w:sz w:val="18"/>
                <w:szCs w:val="18"/>
              </w:rPr>
              <w:t>开课</w:t>
            </w:r>
          </w:p>
          <w:p w14:paraId="32DF8165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时间</w:t>
            </w:r>
          </w:p>
        </w:tc>
      </w:tr>
      <w:tr w:rsidR="00312525" w14:paraId="4655B246" w14:textId="77777777">
        <w:trPr>
          <w:trHeight w:val="454"/>
          <w:jc w:val="center"/>
        </w:trPr>
        <w:tc>
          <w:tcPr>
            <w:tcW w:w="1921" w:type="dxa"/>
            <w:vMerge/>
            <w:vAlign w:val="center"/>
          </w:tcPr>
          <w:p w14:paraId="4BDDA590" w14:textId="77777777" w:rsidR="00312525" w:rsidRDefault="00312525">
            <w:pPr>
              <w:widowControl/>
              <w:jc w:val="center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125" w:type="dxa"/>
            <w:vMerge/>
            <w:vAlign w:val="center"/>
          </w:tcPr>
          <w:p w14:paraId="11257196" w14:textId="77777777" w:rsidR="00312525" w:rsidRDefault="00312525">
            <w:pPr>
              <w:widowControl/>
              <w:jc w:val="center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90" w:type="dxa"/>
            <w:vMerge/>
            <w:vAlign w:val="center"/>
          </w:tcPr>
          <w:p w14:paraId="64834D06" w14:textId="77777777" w:rsidR="00312525" w:rsidRDefault="00312525">
            <w:pPr>
              <w:widowControl/>
              <w:jc w:val="center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</w:tcPr>
          <w:p w14:paraId="1C2ECE9A" w14:textId="77777777" w:rsidR="00312525" w:rsidRDefault="00312525">
            <w:pPr>
              <w:widowControl/>
              <w:jc w:val="center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14:paraId="4AB8A13E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理论</w:t>
            </w:r>
          </w:p>
        </w:tc>
        <w:tc>
          <w:tcPr>
            <w:tcW w:w="736" w:type="dxa"/>
            <w:vAlign w:val="center"/>
          </w:tcPr>
          <w:p w14:paraId="280EA350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实践</w:t>
            </w:r>
          </w:p>
        </w:tc>
        <w:tc>
          <w:tcPr>
            <w:tcW w:w="723" w:type="dxa"/>
            <w:vAlign w:val="center"/>
          </w:tcPr>
          <w:p w14:paraId="549BFB18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线上学时</w:t>
            </w:r>
          </w:p>
        </w:tc>
        <w:tc>
          <w:tcPr>
            <w:tcW w:w="730" w:type="dxa"/>
            <w:vAlign w:val="center"/>
          </w:tcPr>
          <w:p w14:paraId="7EFCA90C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线下学时</w:t>
            </w:r>
          </w:p>
        </w:tc>
        <w:tc>
          <w:tcPr>
            <w:tcW w:w="780" w:type="dxa"/>
            <w:vMerge/>
            <w:vAlign w:val="center"/>
          </w:tcPr>
          <w:p w14:paraId="3DEE2FB0" w14:textId="77777777" w:rsidR="00312525" w:rsidRDefault="00312525">
            <w:pPr>
              <w:widowControl/>
              <w:jc w:val="center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230" w:type="dxa"/>
            <w:vMerge/>
            <w:vAlign w:val="center"/>
          </w:tcPr>
          <w:p w14:paraId="75A8565D" w14:textId="77777777" w:rsidR="00312525" w:rsidRDefault="00312525">
            <w:pPr>
              <w:widowControl/>
              <w:jc w:val="center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16" w:type="dxa"/>
            <w:vMerge/>
            <w:vAlign w:val="center"/>
          </w:tcPr>
          <w:p w14:paraId="56062F69" w14:textId="77777777" w:rsidR="00312525" w:rsidRDefault="00312525">
            <w:pPr>
              <w:widowControl/>
              <w:jc w:val="center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</w:p>
        </w:tc>
      </w:tr>
      <w:tr w:rsidR="00312525" w14:paraId="4BCF3E15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60A50D2E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ESG</w:t>
            </w:r>
            <w: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理论与实践</w:t>
            </w:r>
          </w:p>
          <w:p w14:paraId="36F7912D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ESG Theory and Practice</w:t>
            </w:r>
          </w:p>
        </w:tc>
        <w:tc>
          <w:tcPr>
            <w:tcW w:w="1125" w:type="dxa"/>
            <w:vAlign w:val="center"/>
          </w:tcPr>
          <w:p w14:paraId="528941AA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V0224012B</w:t>
            </w:r>
          </w:p>
        </w:tc>
        <w:tc>
          <w:tcPr>
            <w:tcW w:w="490" w:type="dxa"/>
            <w:vAlign w:val="center"/>
          </w:tcPr>
          <w:p w14:paraId="76A8FA2F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vAlign w:val="center"/>
          </w:tcPr>
          <w:p w14:paraId="4B92DEB3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14:paraId="5C765C28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14:paraId="43BA5049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14:paraId="5DA6CD9F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vAlign w:val="center"/>
          </w:tcPr>
          <w:p w14:paraId="632B2314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08ED99B3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1E2E1CEE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6A189313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1-1</w:t>
            </w:r>
          </w:p>
        </w:tc>
      </w:tr>
      <w:tr w:rsidR="00312525" w14:paraId="3C7E4987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688D80F8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投资理论与实践</w:t>
            </w:r>
          </w:p>
          <w:p w14:paraId="1799A607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 Investment Theory and Practice</w:t>
            </w:r>
          </w:p>
        </w:tc>
        <w:tc>
          <w:tcPr>
            <w:tcW w:w="1125" w:type="dxa"/>
            <w:vAlign w:val="center"/>
          </w:tcPr>
          <w:p w14:paraId="7C831EA6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V0224022B</w:t>
            </w:r>
          </w:p>
        </w:tc>
        <w:tc>
          <w:tcPr>
            <w:tcW w:w="490" w:type="dxa"/>
            <w:vAlign w:val="center"/>
          </w:tcPr>
          <w:p w14:paraId="4D3BCAC7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vAlign w:val="center"/>
          </w:tcPr>
          <w:p w14:paraId="09DF1388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14:paraId="4DFCF6B6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14:paraId="7C9187B2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14:paraId="760FA0DC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vAlign w:val="center"/>
          </w:tcPr>
          <w:p w14:paraId="509B1906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691BD3D1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6B99F48E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0C47E08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1-2</w:t>
            </w:r>
          </w:p>
        </w:tc>
      </w:tr>
      <w:tr w:rsidR="00312525" w14:paraId="41A97F31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53D7A4BF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数字化战略</w:t>
            </w:r>
          </w:p>
          <w:p w14:paraId="12D81206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ESG 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Digital</w:t>
            </w: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Strategy</w:t>
            </w:r>
          </w:p>
        </w:tc>
        <w:tc>
          <w:tcPr>
            <w:tcW w:w="1125" w:type="dxa"/>
            <w:vAlign w:val="center"/>
          </w:tcPr>
          <w:p w14:paraId="06383378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V0224032B</w:t>
            </w:r>
          </w:p>
        </w:tc>
        <w:tc>
          <w:tcPr>
            <w:tcW w:w="490" w:type="dxa"/>
            <w:vAlign w:val="center"/>
          </w:tcPr>
          <w:p w14:paraId="351B3A6B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vAlign w:val="center"/>
          </w:tcPr>
          <w:p w14:paraId="709CDAB5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14:paraId="4C7F48AA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16</w:t>
            </w:r>
          </w:p>
        </w:tc>
        <w:tc>
          <w:tcPr>
            <w:tcW w:w="736" w:type="dxa"/>
            <w:vAlign w:val="center"/>
          </w:tcPr>
          <w:p w14:paraId="4A1385C9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6</w:t>
            </w:r>
          </w:p>
        </w:tc>
        <w:tc>
          <w:tcPr>
            <w:tcW w:w="723" w:type="dxa"/>
            <w:vAlign w:val="center"/>
          </w:tcPr>
          <w:p w14:paraId="6A005CAA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vAlign w:val="center"/>
          </w:tcPr>
          <w:p w14:paraId="2AEFCE22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4CC3C92A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0E092FCB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117B48EE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1-2</w:t>
            </w:r>
          </w:p>
        </w:tc>
      </w:tr>
      <w:tr w:rsidR="00312525" w14:paraId="3CF1934F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576704C1" w14:textId="77777777" w:rsidR="002423B1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报告与信息披露管理</w:t>
            </w: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E816580" w14:textId="0EA47D49" w:rsidR="00312525" w:rsidRDefault="00000000">
            <w:pPr>
              <w:widowControl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ESG Reporting and 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nformation Disclosure Management</w:t>
            </w:r>
          </w:p>
        </w:tc>
        <w:tc>
          <w:tcPr>
            <w:tcW w:w="1125" w:type="dxa"/>
            <w:vAlign w:val="center"/>
          </w:tcPr>
          <w:p w14:paraId="651FAC26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V0224042B</w:t>
            </w:r>
          </w:p>
        </w:tc>
        <w:tc>
          <w:tcPr>
            <w:tcW w:w="490" w:type="dxa"/>
            <w:vAlign w:val="center"/>
          </w:tcPr>
          <w:p w14:paraId="0B1C270B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vAlign w:val="center"/>
          </w:tcPr>
          <w:p w14:paraId="5212806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14:paraId="2AD5AE9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16</w:t>
            </w:r>
          </w:p>
        </w:tc>
        <w:tc>
          <w:tcPr>
            <w:tcW w:w="736" w:type="dxa"/>
            <w:vAlign w:val="center"/>
          </w:tcPr>
          <w:p w14:paraId="62988EC8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6</w:t>
            </w:r>
          </w:p>
        </w:tc>
        <w:tc>
          <w:tcPr>
            <w:tcW w:w="723" w:type="dxa"/>
            <w:vAlign w:val="center"/>
          </w:tcPr>
          <w:p w14:paraId="11AA6F04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vAlign w:val="center"/>
          </w:tcPr>
          <w:p w14:paraId="5271B68E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6F755813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03C0BFBA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1487E890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1-1</w:t>
            </w:r>
          </w:p>
        </w:tc>
      </w:tr>
      <w:tr w:rsidR="00312525" w14:paraId="4CE2DD92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1AAD23FB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企业</w:t>
            </w: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管理</w:t>
            </w:r>
          </w:p>
          <w:p w14:paraId="7F4A0555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Corporate ESG Management</w:t>
            </w:r>
          </w:p>
        </w:tc>
        <w:tc>
          <w:tcPr>
            <w:tcW w:w="1125" w:type="dxa"/>
            <w:vAlign w:val="center"/>
          </w:tcPr>
          <w:p w14:paraId="55BB9413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V0224052B</w:t>
            </w:r>
          </w:p>
        </w:tc>
        <w:tc>
          <w:tcPr>
            <w:tcW w:w="490" w:type="dxa"/>
            <w:vAlign w:val="center"/>
          </w:tcPr>
          <w:p w14:paraId="182C8308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vAlign w:val="center"/>
          </w:tcPr>
          <w:p w14:paraId="7EAB937B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14:paraId="1745E420" w14:textId="5872313F" w:rsidR="00312525" w:rsidRDefault="0091353F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6" w:type="dxa"/>
            <w:vAlign w:val="center"/>
          </w:tcPr>
          <w:p w14:paraId="6F4D5EA3" w14:textId="5D18A51B" w:rsidR="00312525" w:rsidRDefault="0091353F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14:paraId="06348A34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vAlign w:val="center"/>
          </w:tcPr>
          <w:p w14:paraId="28A6B174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1DF26A56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77E62BBF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54293BAA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1-2</w:t>
            </w:r>
          </w:p>
        </w:tc>
      </w:tr>
      <w:tr w:rsidR="00312525" w14:paraId="1FA5EF22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365B0AB3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气候风险智能管理</w:t>
            </w:r>
          </w:p>
          <w:p w14:paraId="5DB634A4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Climate Risk 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 xml:space="preserve">Smart </w:t>
            </w: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1125" w:type="dxa"/>
            <w:vAlign w:val="center"/>
          </w:tcPr>
          <w:p w14:paraId="320E5996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V0224062B</w:t>
            </w:r>
          </w:p>
        </w:tc>
        <w:tc>
          <w:tcPr>
            <w:tcW w:w="490" w:type="dxa"/>
            <w:vAlign w:val="center"/>
          </w:tcPr>
          <w:p w14:paraId="6B8F9972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vAlign w:val="center"/>
          </w:tcPr>
          <w:p w14:paraId="7EFE8EF7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14:paraId="06BF90F2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14:paraId="7E284716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14:paraId="6A3C1984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vAlign w:val="center"/>
          </w:tcPr>
          <w:p w14:paraId="1EABC6FB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3EFD3F7C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147949A6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0C0B115E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1-1</w:t>
            </w:r>
          </w:p>
        </w:tc>
      </w:tr>
      <w:tr w:rsidR="00312525" w14:paraId="67761DAA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3BD3B6BB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绿色</w:t>
            </w:r>
            <w:proofErr w:type="gramStart"/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金融数智化</w:t>
            </w:r>
            <w:proofErr w:type="gramEnd"/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分析</w:t>
            </w:r>
          </w:p>
          <w:p w14:paraId="4415F36F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Digital and Intelligent Analysis of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Green Finance</w:t>
            </w:r>
          </w:p>
        </w:tc>
        <w:tc>
          <w:tcPr>
            <w:tcW w:w="1125" w:type="dxa"/>
            <w:vAlign w:val="center"/>
          </w:tcPr>
          <w:p w14:paraId="1928B874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V0224072B</w:t>
            </w:r>
          </w:p>
        </w:tc>
        <w:tc>
          <w:tcPr>
            <w:tcW w:w="490" w:type="dxa"/>
            <w:vAlign w:val="center"/>
          </w:tcPr>
          <w:p w14:paraId="4A38E66C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vAlign w:val="center"/>
          </w:tcPr>
          <w:p w14:paraId="03ECA47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vAlign w:val="center"/>
          </w:tcPr>
          <w:p w14:paraId="286F0E6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14:paraId="47893C38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14:paraId="76D81B43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vAlign w:val="center"/>
          </w:tcPr>
          <w:p w14:paraId="5B9AE142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5FC08DFF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7914547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1BFA2BFC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1-1</w:t>
            </w:r>
          </w:p>
        </w:tc>
      </w:tr>
      <w:tr w:rsidR="00312525" w14:paraId="05B713EA" w14:textId="77777777">
        <w:trPr>
          <w:trHeight w:val="454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395CE8A9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bookmarkStart w:id="1" w:name="_Hlk152912714"/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ESG产教融合实践</w:t>
            </w:r>
          </w:p>
          <w:bookmarkEnd w:id="1"/>
          <w:p w14:paraId="3C56766F" w14:textId="77777777" w:rsidR="00312525" w:rsidRDefault="00000000">
            <w:pPr>
              <w:widowControl/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ESG</w:t>
            </w:r>
            <w:r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 Practice of Integration between Industry and Education</w:t>
            </w:r>
          </w:p>
        </w:tc>
        <w:tc>
          <w:tcPr>
            <w:tcW w:w="1125" w:type="dxa"/>
            <w:vAlign w:val="center"/>
          </w:tcPr>
          <w:p w14:paraId="5C0A4E66" w14:textId="77777777" w:rsidR="00312525" w:rsidRDefault="00000000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z w:val="18"/>
                <w:szCs w:val="18"/>
              </w:rPr>
              <w:t>V0224082B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14:paraId="126E833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center"/>
          </w:tcPr>
          <w:p w14:paraId="34AD6904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7BA29E95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28AABC0E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14:paraId="38FD3DBA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vAlign w:val="center"/>
          </w:tcPr>
          <w:p w14:paraId="6635DDD6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0" w:type="dxa"/>
            <w:vAlign w:val="center"/>
          </w:tcPr>
          <w:p w14:paraId="3B8C4FB5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1230" w:type="dxa"/>
            <w:vAlign w:val="center"/>
          </w:tcPr>
          <w:p w14:paraId="10DA9AFD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716" w:type="dxa"/>
            <w:vAlign w:val="center"/>
          </w:tcPr>
          <w:p w14:paraId="2D789349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1-2</w:t>
            </w:r>
          </w:p>
        </w:tc>
      </w:tr>
      <w:tr w:rsidR="00312525" w14:paraId="49F3DF4A" w14:textId="77777777">
        <w:trPr>
          <w:trHeight w:val="454"/>
          <w:jc w:val="center"/>
        </w:trPr>
        <w:tc>
          <w:tcPr>
            <w:tcW w:w="1921" w:type="dxa"/>
            <w:vAlign w:val="center"/>
          </w:tcPr>
          <w:p w14:paraId="5B83BAEB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合计</w:t>
            </w:r>
          </w:p>
        </w:tc>
        <w:tc>
          <w:tcPr>
            <w:tcW w:w="1125" w:type="dxa"/>
            <w:vAlign w:val="center"/>
          </w:tcPr>
          <w:p w14:paraId="67A6AB13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F2B5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FECB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256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8118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5D46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FB1A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E408E3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256</w:t>
            </w:r>
          </w:p>
        </w:tc>
        <w:tc>
          <w:tcPr>
            <w:tcW w:w="780" w:type="dxa"/>
            <w:vAlign w:val="center"/>
          </w:tcPr>
          <w:p w14:paraId="3B35AA48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  <w:tc>
          <w:tcPr>
            <w:tcW w:w="1230" w:type="dxa"/>
            <w:vAlign w:val="center"/>
          </w:tcPr>
          <w:p w14:paraId="14D26061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  <w:tc>
          <w:tcPr>
            <w:tcW w:w="716" w:type="dxa"/>
            <w:vAlign w:val="center"/>
          </w:tcPr>
          <w:p w14:paraId="65C82302" w14:textId="77777777" w:rsidR="00312525" w:rsidRDefault="00000000">
            <w:pPr>
              <w:widowControl/>
              <w:jc w:val="center"/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</w:tr>
    </w:tbl>
    <w:bookmarkEnd w:id="0"/>
    <w:p w14:paraId="2BC9F260" w14:textId="77777777" w:rsidR="00312525" w:rsidRDefault="00000000">
      <w:pPr>
        <w:widowControl/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备注：</w:t>
      </w:r>
    </w:p>
    <w:p w14:paraId="7D641434" w14:textId="77777777" w:rsidR="00312525" w:rsidRDefault="00000000">
      <w:pPr>
        <w:widowControl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总学时=理论学时+实践学时（实践教学含实验和上机教学），总学时=线上学时+线下学时；</w:t>
      </w:r>
    </w:p>
    <w:p w14:paraId="03680C1A" w14:textId="77777777" w:rsidR="00312525" w:rsidRDefault="00000000">
      <w:pPr>
        <w:widowControl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课程代码由教务处统一编制；“开课学期”根据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年制内实际开课学期填写1-1、1-2、2-1、2-2、3</w:t>
      </w:r>
      <w:r>
        <w:rPr>
          <w:rFonts w:ascii="仿宋" w:eastAsia="仿宋" w:hAnsi="仿宋"/>
          <w:sz w:val="24"/>
          <w:szCs w:val="24"/>
        </w:rPr>
        <w:t>-1</w:t>
      </w:r>
      <w:r>
        <w:rPr>
          <w:rFonts w:ascii="仿宋" w:eastAsia="仿宋" w:hAnsi="仿宋" w:hint="eastAsia"/>
          <w:sz w:val="24"/>
          <w:szCs w:val="24"/>
        </w:rPr>
        <w:t>、3</w:t>
      </w:r>
      <w:r>
        <w:rPr>
          <w:rFonts w:ascii="仿宋" w:eastAsia="仿宋" w:hAnsi="仿宋"/>
          <w:sz w:val="24"/>
          <w:szCs w:val="24"/>
        </w:rPr>
        <w:t>-2</w:t>
      </w:r>
      <w:r>
        <w:rPr>
          <w:rFonts w:ascii="仿宋" w:eastAsia="仿宋" w:hAnsi="仿宋" w:hint="eastAsia"/>
          <w:sz w:val="24"/>
          <w:szCs w:val="24"/>
        </w:rPr>
        <w:t>、4</w:t>
      </w:r>
      <w:r>
        <w:rPr>
          <w:rFonts w:ascii="仿宋" w:eastAsia="仿宋" w:hAnsi="仿宋"/>
          <w:sz w:val="24"/>
          <w:szCs w:val="24"/>
        </w:rPr>
        <w:t>-1</w:t>
      </w:r>
      <w:r>
        <w:rPr>
          <w:rFonts w:ascii="仿宋" w:eastAsia="仿宋" w:hAnsi="仿宋" w:hint="eastAsia"/>
          <w:sz w:val="24"/>
          <w:szCs w:val="24"/>
        </w:rPr>
        <w:t>、4</w:t>
      </w:r>
      <w:r>
        <w:rPr>
          <w:rFonts w:ascii="仿宋" w:eastAsia="仿宋" w:hAnsi="仿宋"/>
          <w:sz w:val="24"/>
          <w:szCs w:val="24"/>
        </w:rPr>
        <w:t>-2</w:t>
      </w:r>
      <w:r>
        <w:rPr>
          <w:rFonts w:ascii="仿宋" w:eastAsia="仿宋" w:hAnsi="仿宋" w:hint="eastAsia"/>
          <w:sz w:val="24"/>
          <w:szCs w:val="24"/>
        </w:rPr>
        <w:t>填写，“考核方式”填写考试、考查</w:t>
      </w:r>
      <w:r>
        <w:rPr>
          <w:rFonts w:ascii="仿宋" w:eastAsia="仿宋" w:hAnsi="仿宋" w:cs="宋体" w:hint="eastAsia"/>
          <w:sz w:val="24"/>
          <w:szCs w:val="24"/>
        </w:rPr>
        <w:t>；</w:t>
      </w:r>
    </w:p>
    <w:p w14:paraId="49A4E2A3" w14:textId="77777777" w:rsidR="00312525" w:rsidRDefault="00000000">
      <w:pPr>
        <w:widowControl/>
        <w:rPr>
          <w:rFonts w:ascii="黑体" w:eastAsia="黑体" w:hAnsi="黑体" w:cs="黑体"/>
          <w:bCs/>
          <w:sz w:val="28"/>
          <w:szCs w:val="28"/>
        </w:rPr>
      </w:pPr>
      <w:r>
        <w:rPr>
          <w:rFonts w:ascii="仿宋" w:eastAsia="仿宋" w:hAnsi="仿宋" w:hint="eastAsia"/>
          <w:sz w:val="24"/>
          <w:szCs w:val="24"/>
        </w:rPr>
        <w:t>3.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开课单位填写任课教师所在部门或单位。</w:t>
      </w:r>
      <w:r>
        <w:rPr>
          <w:sz w:val="32"/>
        </w:rPr>
        <w:br w:type="page"/>
      </w:r>
      <w:r>
        <w:rPr>
          <w:rFonts w:ascii="黑体" w:eastAsia="黑体" w:hAnsi="黑体" w:cs="黑体" w:hint="eastAsia"/>
          <w:bCs/>
          <w:sz w:val="28"/>
          <w:szCs w:val="28"/>
        </w:rPr>
        <w:t>六、课程简介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843"/>
        <w:gridCol w:w="6416"/>
      </w:tblGrid>
      <w:tr w:rsidR="00312525" w14:paraId="00BDF157" w14:textId="77777777">
        <w:trPr>
          <w:cantSplit/>
          <w:trHeight w:val="512"/>
          <w:tblHeader/>
          <w:jc w:val="center"/>
        </w:trPr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559772F6" w14:textId="77777777" w:rsidR="00312525" w:rsidRDefault="00000000">
            <w:pPr>
              <w:widowControl/>
              <w:jc w:val="center"/>
              <w:rPr>
                <w:rFonts w:ascii="黑体" w:eastAsia="黑体" w:hAnsi="黑体" w:cs="黑体"/>
                <w:b/>
                <w:spacing w:val="2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E2228DA" w14:textId="77777777" w:rsidR="00312525" w:rsidRDefault="00000000">
            <w:pPr>
              <w:widowControl/>
              <w:jc w:val="center"/>
              <w:rPr>
                <w:rFonts w:ascii="黑体" w:eastAsia="黑体" w:hAnsi="黑体" w:cs="黑体"/>
                <w:b/>
                <w:spacing w:val="2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课程名称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5F2BB" w14:textId="77777777" w:rsidR="00312525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课程简介</w:t>
            </w:r>
          </w:p>
        </w:tc>
      </w:tr>
      <w:tr w:rsidR="00312525" w14:paraId="5095ED6E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11E03E65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66D7A" w14:textId="77777777" w:rsidR="00312525" w:rsidRDefault="00000000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ESG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理论与实践</w:t>
            </w:r>
          </w:p>
          <w:p w14:paraId="7162BCEB" w14:textId="77777777" w:rsidR="00312525" w:rsidRDefault="00000000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ESG Theory and Practice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67290" w14:textId="7777777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《ESG理论与实践》主要讲授ESG理论内涵、发展脉络、评价体系、评价方法、驱动因素、现实案例、趋势挑战等内容。通过本门课程的教学，使学生了解ESG相关理论和方法，探索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双碳战略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下的ESG实践，拓展学生的知识体系和学科素养，培养和锻炼学生分析和处理现实ESG问题的思维方式与实践能力。教学过程中，采用课程教授、案例分析、小组讨论等多元化方式，为学生进一步学习ESG相关知识提供帮助，旨在培养学生的经济管理思维以及在ESG实践中的分析判断能力，提升学生的实际操作能力和ESG管理能力。</w:t>
            </w:r>
          </w:p>
        </w:tc>
      </w:tr>
      <w:tr w:rsidR="00312525" w14:paraId="2C66C5E9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22C27D30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496751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投资理论与实践</w:t>
            </w:r>
          </w:p>
          <w:p w14:paraId="0D0D4FD7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ESG Investment Theory and Practice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CB489" w14:textId="7777777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ESG投资理论与实践》主要围绕着ESG投资展开，从企业ESG投资的基础概论入手，介绍了ESG投资的基本概念、基础建设与国内外市场上的ESG投资现状。课程章节包括ESG投资概论、ESG投资基础建设：ESG披露标准、ESG投资基础建设：ESG评价、国际市场上的ESG投资、中国市场上的ESG投资、ESG投资实践案例分析、ESG投资未来展望。通过本门课程的教学，使学生对ESG投资有全面的认知，培养学生运用所学知识分析和解决现实中ESG投资相关问题的能力。课程采用讲课为主，辅以学生参与讨论、案例展示的教学手段，使学生认识到ESG投资本的质是基于企业和社会可持续发展的长期价值投资，激发学生为我国经济可持续发展贡献力量的社会责任感与使命感。</w:t>
            </w:r>
          </w:p>
        </w:tc>
      </w:tr>
      <w:tr w:rsidR="00312525" w14:paraId="6D86EBF1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7DC342D3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E787EC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数字化战略</w:t>
            </w:r>
          </w:p>
          <w:p w14:paraId="3B563889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ESG 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Digital</w:t>
            </w: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Strategy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A467" w14:textId="7777777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ESG数字化战略》阐述了ESG数字化战略，从数字化视角讨论ESG战略规划与实施，在介绍ESG及ESG战略基本概念和理论基础的基础上，系统全面的讲解了ESG数字化战略环境分析、ESG数字化战略方案设计、ESG数字化战略规划的工具与方法、ESG数字化战略实施保障、ESG数字化战略实施及ESG数字化战略回顾与改进。通过本门课程的教学，使学生了解ESG数字化战略的基本要求、定位、特点及目标。课程采用讲课为主、辅以学生参与讨论、案例展示的教学手段，使学生掌握分析企业ESG的宏观环境和内部环境工具，掌握ESG战略规划的数字化工具，提升学生使用ESG数字化战略规划的方法进行ESG战略规划的能力，培养学生对ESG数字化战略和可持续发展的意识和责任感。</w:t>
            </w:r>
          </w:p>
        </w:tc>
      </w:tr>
      <w:tr w:rsidR="00312525" w14:paraId="4C6EFDDE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6C166560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55841D" w14:textId="77777777" w:rsidR="002423B1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报告与信息披露管理</w:t>
            </w: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 </w:t>
            </w:r>
          </w:p>
          <w:p w14:paraId="323BF236" w14:textId="262E3289" w:rsidR="00312525" w:rsidRDefault="00000000">
            <w:pPr>
              <w:widowControl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ESG Reporting and 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I</w:t>
            </w: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nformation Disclosure Management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7CF78" w14:textId="7777777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ESG报告与信息披露管理》课程的核心是为了让学生了解ESG报告的编制和ESG信息披露标准及评价方法。通过本门课程的教学，使学生掌握ESG报告的编制原则和编制流程；学习和掌握ESG报告涵盖的内容和编制的流程；掌握ESG关键议题的识别方法；熟悉利益相关者的概念并掌握与之沟通的方法；学习和掌握ESG报告的信息披露标准以及ESG评价方法；了解各个行业的ESG信息披露要求及侧重点。课程采用理论教学和经典案例讨论相结合的方式，让学生了解和掌握ESG信息披露相关理论、核心问题和解决方式，培养学生的可持续发展思维模式，帮助他们建构科学的发展观，实现立德树人的育人理念。</w:t>
            </w:r>
          </w:p>
        </w:tc>
      </w:tr>
      <w:tr w:rsidR="00312525" w14:paraId="34776DF6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590E0E3B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44CC72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企业</w:t>
            </w: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管理</w:t>
            </w:r>
          </w:p>
          <w:p w14:paraId="6963F12D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Corporate ESG Management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83B4B" w14:textId="7777777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《企业ESG管理》主要讲授企业ESG管理框架、E-CPC模型、S-LPSS模型、G-SME模型、ESG战略管理、ESG披露、ESG评价、ESG投资等内容。通过本门课程的教学，使学生了解企业ESG管理的相关理论、手段和方法，探索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双碳战略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下的企业ESG管理实践。教学过程中，采用课程教授、案例分析、小组讨论等多元化方式，为学生进一步学习企业ESG管理相关知识提供帮助，旨在全面提升学生的ESG素养，培育学生分析和处理现实ESG问题的思维方式与实践能力，为国家输送高质量的ESG人才。</w:t>
            </w:r>
          </w:p>
        </w:tc>
      </w:tr>
      <w:tr w:rsidR="00312525" w14:paraId="5ECF177F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64C2354E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3E15B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气候风险智能管理</w:t>
            </w:r>
          </w:p>
          <w:p w14:paraId="236928BE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Climate Risk 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 xml:space="preserve">Smart </w:t>
            </w: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CBBD8" w14:textId="7777777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气候风险智能管理》从人类面临的气候危机入手，系统介绍气候风险发展的历史背景、基本概念和人类为此做出的努力，并重点阐述现代企业应对气候风险的实践机制，以及在应对气候变化的过程中人工智能能够起到的作用。通过本门课程的教学，引导学生探索我国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碳达峰碳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中和“1+N”政策体系之下企业面临的多样性气候风险，学习如何使用智能化手段正确应对管理气候风险，提高学生对气候风险认识。课程通过教师讲授、学生小组讨论以及案例展示等方式，使学生理解企业发展历程中气候风险意识从无到有、由浅入深的过程，掌握支撑和解释企业可持续发展的理论基础，了解企业气候风险管理实践与智能技术应用，进而掌握促进企业可持续发展的有效路径，全面提升学生参与全球气候和环境治理的基本素养和能力。</w:t>
            </w:r>
          </w:p>
        </w:tc>
      </w:tr>
      <w:tr w:rsidR="00312525" w14:paraId="5E6A37E1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49C54EA9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6775F9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绿色</w:t>
            </w:r>
            <w:proofErr w:type="gramStart"/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金融数智化</w:t>
            </w:r>
            <w:proofErr w:type="gramEnd"/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分析</w:t>
            </w:r>
          </w:p>
          <w:p w14:paraId="69259D5B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Digital and Intelligent Analysis of</w:t>
            </w: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Green Finance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2AC56" w14:textId="4CBA3E4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《绿色金融数智化分析》围绕绿色金融各板块的理论、政策、操作实务等展开，在介绍绿色金融基本概念和理论的基础上，系统全面地讲解绿色金融市场、碳金融、绿色金融科技等知识，并教授学生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运用数智化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手段进行绿色金融分析的方法。通过本门课程的教学，使学生了解绿色金融的定义和基本概念，认识“双碳”背景下绿色金融对于企业、经济、社会的重要意义与价值。课程采用讲课为主、辅以学生参与讨论、案例展示的教学手段，培养和提高学生关于绿色金融理论与应用上的认识和技能，帮助学生掌握绿色金融领域的专业知识，提升学生解决绿色金融发展问题的能力和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运用数智化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手段分析绿色金融问题的技能，评估绿色金融的商业机会和可持续发展潜力。</w:t>
            </w:r>
          </w:p>
        </w:tc>
      </w:tr>
      <w:tr w:rsidR="00312525" w14:paraId="62800B04" w14:textId="77777777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2BEEAE5F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4411C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ESG产教融合实践</w:t>
            </w:r>
          </w:p>
          <w:p w14:paraId="7E62BDC3" w14:textId="77777777" w:rsidR="00312525" w:rsidRDefault="00000000">
            <w:pPr>
              <w:widowControl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ESG Practice of Integration between Industry and Education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6E5F1" w14:textId="77777777" w:rsidR="00312525" w:rsidRDefault="00000000">
            <w:pPr>
              <w:widowControl/>
              <w:spacing w:before="120" w:after="120"/>
              <w:ind w:firstLineChars="200" w:firstLine="420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《ESG产教融合实践》是以校企联合为支撑，为加强产教融合，依靠工商管理学院与ESG研究院的企业家资源，安排学生至第一创业、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创金合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信、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盈富泰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克、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凯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联资本、联想集团等企业进行实地参访而开设的创新型实践课程。通过本门课程的教学，使学生在不同企业亲身感受国内企业最关心的ESG前沿问题，了解企业</w:t>
            </w:r>
            <w:proofErr w:type="gramStart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践行</w:t>
            </w:r>
            <w:proofErr w:type="gramEnd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ESG理念的实践方法。课程将组织学生进行企业实地调研，通过四个全天或八个半天的全面考察，帮助学生熟悉金融企业如何进行ESG投资，感受企业构建ESG管理体系的逻辑与ESG管理方法，调研过程中将穿插由企业家主讲的ESG实践问题前沿讲座，培养学生的可持续发展思维模式，锻炼学生发现和解决ESG问题的能力，全面助力学生ESG实践与理论双重能力的交叉提升。</w:t>
            </w:r>
          </w:p>
        </w:tc>
      </w:tr>
    </w:tbl>
    <w:p w14:paraId="653388B2" w14:textId="77777777" w:rsidR="00312525" w:rsidRDefault="00312525"/>
    <w:sectPr w:rsidR="00312525">
      <w:footerReference w:type="default" r:id="rId8"/>
      <w:pgSz w:w="11906" w:h="16838"/>
      <w:pgMar w:top="1134" w:right="1418" w:bottom="1134" w:left="1418" w:header="851" w:footer="45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BE6D" w14:textId="77777777" w:rsidR="00791C55" w:rsidRDefault="00791C55">
      <w:r>
        <w:separator/>
      </w:r>
    </w:p>
  </w:endnote>
  <w:endnote w:type="continuationSeparator" w:id="0">
    <w:p w14:paraId="677EC067" w14:textId="77777777" w:rsidR="00791C55" w:rsidRDefault="0079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9224251"/>
    </w:sdtPr>
    <w:sdtContent>
      <w:p w14:paraId="498C30EF" w14:textId="77777777" w:rsidR="00312525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70DDF" w14:textId="77777777" w:rsidR="00791C55" w:rsidRDefault="00791C55">
      <w:r>
        <w:separator/>
      </w:r>
    </w:p>
  </w:footnote>
  <w:footnote w:type="continuationSeparator" w:id="0">
    <w:p w14:paraId="6D979049" w14:textId="77777777" w:rsidR="00791C55" w:rsidRDefault="00791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M2NTcyNTSwMDEwMDZX0lEKTi0uzszPAykwNK4FACrAqZstAAAA"/>
    <w:docVar w:name="commondata" w:val="eyJoZGlkIjoiOWIyODhkODhlYzU3MWY1YWRiMWQzM2U3MWEwY2I5NWMifQ=="/>
  </w:docVars>
  <w:rsids>
    <w:rsidRoot w:val="0AE32D0C"/>
    <w:rsid w:val="0002258E"/>
    <w:rsid w:val="00032132"/>
    <w:rsid w:val="00055C33"/>
    <w:rsid w:val="000703B8"/>
    <w:rsid w:val="000F12A7"/>
    <w:rsid w:val="00100B06"/>
    <w:rsid w:val="00157AD0"/>
    <w:rsid w:val="001A284D"/>
    <w:rsid w:val="001E7CEE"/>
    <w:rsid w:val="001F45AD"/>
    <w:rsid w:val="001F5FF1"/>
    <w:rsid w:val="00214F12"/>
    <w:rsid w:val="002423B1"/>
    <w:rsid w:val="00277903"/>
    <w:rsid w:val="00284BA4"/>
    <w:rsid w:val="002A33CB"/>
    <w:rsid w:val="002C7132"/>
    <w:rsid w:val="002D1061"/>
    <w:rsid w:val="0030581E"/>
    <w:rsid w:val="00312525"/>
    <w:rsid w:val="00363F1A"/>
    <w:rsid w:val="00372B72"/>
    <w:rsid w:val="00392EAF"/>
    <w:rsid w:val="003B1BBA"/>
    <w:rsid w:val="003B47C2"/>
    <w:rsid w:val="003D4C0A"/>
    <w:rsid w:val="003E28B6"/>
    <w:rsid w:val="003F077D"/>
    <w:rsid w:val="00434C36"/>
    <w:rsid w:val="00466B63"/>
    <w:rsid w:val="0048594A"/>
    <w:rsid w:val="004B5A3E"/>
    <w:rsid w:val="004D1C1E"/>
    <w:rsid w:val="005577A3"/>
    <w:rsid w:val="00584A72"/>
    <w:rsid w:val="00592BEA"/>
    <w:rsid w:val="005C0FCA"/>
    <w:rsid w:val="005F319E"/>
    <w:rsid w:val="00632B1E"/>
    <w:rsid w:val="00691253"/>
    <w:rsid w:val="00695B9D"/>
    <w:rsid w:val="006A1984"/>
    <w:rsid w:val="006B3802"/>
    <w:rsid w:val="006C35B6"/>
    <w:rsid w:val="007051D4"/>
    <w:rsid w:val="0073411D"/>
    <w:rsid w:val="0075679B"/>
    <w:rsid w:val="00766096"/>
    <w:rsid w:val="00791C55"/>
    <w:rsid w:val="007955C6"/>
    <w:rsid w:val="007C55C8"/>
    <w:rsid w:val="007D4886"/>
    <w:rsid w:val="007F53E5"/>
    <w:rsid w:val="00823CED"/>
    <w:rsid w:val="00832015"/>
    <w:rsid w:val="0083708D"/>
    <w:rsid w:val="008374F4"/>
    <w:rsid w:val="0084653F"/>
    <w:rsid w:val="00877743"/>
    <w:rsid w:val="008A3938"/>
    <w:rsid w:val="008A4B1C"/>
    <w:rsid w:val="008C6EDD"/>
    <w:rsid w:val="008F2C49"/>
    <w:rsid w:val="0091353F"/>
    <w:rsid w:val="009206BD"/>
    <w:rsid w:val="009442F5"/>
    <w:rsid w:val="009E421A"/>
    <w:rsid w:val="009F6F9C"/>
    <w:rsid w:val="00AB27FA"/>
    <w:rsid w:val="00AC5134"/>
    <w:rsid w:val="00AD5752"/>
    <w:rsid w:val="00B51BA2"/>
    <w:rsid w:val="00B51BA5"/>
    <w:rsid w:val="00B75253"/>
    <w:rsid w:val="00B835EE"/>
    <w:rsid w:val="00BA4E8A"/>
    <w:rsid w:val="00BC7A37"/>
    <w:rsid w:val="00BF3157"/>
    <w:rsid w:val="00C11ECD"/>
    <w:rsid w:val="00C12C7C"/>
    <w:rsid w:val="00C35054"/>
    <w:rsid w:val="00C94FE3"/>
    <w:rsid w:val="00CB1D17"/>
    <w:rsid w:val="00CB38CF"/>
    <w:rsid w:val="00CD4DF3"/>
    <w:rsid w:val="00CE5208"/>
    <w:rsid w:val="00CF6094"/>
    <w:rsid w:val="00D02904"/>
    <w:rsid w:val="00D2442C"/>
    <w:rsid w:val="00D3019A"/>
    <w:rsid w:val="00D4521A"/>
    <w:rsid w:val="00D529C8"/>
    <w:rsid w:val="00D66152"/>
    <w:rsid w:val="00D74244"/>
    <w:rsid w:val="00D76F8F"/>
    <w:rsid w:val="00D81BBD"/>
    <w:rsid w:val="00D96EC6"/>
    <w:rsid w:val="00DC14A3"/>
    <w:rsid w:val="00E5461D"/>
    <w:rsid w:val="00E82629"/>
    <w:rsid w:val="00EB4811"/>
    <w:rsid w:val="00EC3AD1"/>
    <w:rsid w:val="00EE058D"/>
    <w:rsid w:val="00F16F11"/>
    <w:rsid w:val="00F50D2F"/>
    <w:rsid w:val="00F87105"/>
    <w:rsid w:val="00FB135F"/>
    <w:rsid w:val="00FB54D5"/>
    <w:rsid w:val="00FE3A51"/>
    <w:rsid w:val="00FE7A91"/>
    <w:rsid w:val="00FF1F2B"/>
    <w:rsid w:val="00FF756A"/>
    <w:rsid w:val="02641DFB"/>
    <w:rsid w:val="0AE32D0C"/>
    <w:rsid w:val="1165300E"/>
    <w:rsid w:val="175A6EDF"/>
    <w:rsid w:val="1EEF22CE"/>
    <w:rsid w:val="21BF3E1B"/>
    <w:rsid w:val="3D7106DB"/>
    <w:rsid w:val="46E13E64"/>
    <w:rsid w:val="496038EF"/>
    <w:rsid w:val="54561A8C"/>
    <w:rsid w:val="588522A6"/>
    <w:rsid w:val="5C2667BC"/>
    <w:rsid w:val="60E0197E"/>
    <w:rsid w:val="6221580D"/>
    <w:rsid w:val="64844FF7"/>
    <w:rsid w:val="649F2FD7"/>
    <w:rsid w:val="687B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D8FFE8"/>
  <w15:docId w15:val="{CAF3CFA7-688B-4C73-B867-1089F0AC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18550-C8FD-4E68-B4E1-10C41CE5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Shine_ZHOU</dc:creator>
  <cp:lastModifiedBy>Kai Wang</cp:lastModifiedBy>
  <cp:revision>2</cp:revision>
  <dcterms:created xsi:type="dcterms:W3CDTF">2024-06-11T13:53:00Z</dcterms:created>
  <dcterms:modified xsi:type="dcterms:W3CDTF">2024-06-11T13:53:00Z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89BE444AC31A41DE92AD2CE08303C9EE</vt:lpwstr>
  </property>
</Properties>
</file>