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华侨学院数字碳管理（全英文）微专业人才培养方案</w:t>
      </w:r>
    </w:p>
    <w:p>
      <w:pPr>
        <w:widowControl/>
        <w:spacing w:before="156" w:beforeLines="50" w:after="120"/>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pPr>
        <w:widowControl/>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自我国提出碳达峰、碳中和的3</w:t>
      </w:r>
      <w:r>
        <w:rPr>
          <w:rFonts w:ascii="华文仿宋" w:hAnsi="华文仿宋" w:eastAsia="华文仿宋"/>
          <w:bCs/>
          <w:sz w:val="24"/>
          <w:szCs w:val="24"/>
        </w:rPr>
        <w:t>0</w:t>
      </w:r>
      <w:r>
        <w:rPr>
          <w:rFonts w:hint="eastAsia" w:ascii="华文仿宋" w:hAnsi="华文仿宋" w:eastAsia="华文仿宋"/>
          <w:bCs/>
          <w:sz w:val="24"/>
          <w:szCs w:val="24"/>
        </w:rPr>
        <w:t>/</w:t>
      </w:r>
      <w:r>
        <w:rPr>
          <w:rFonts w:ascii="华文仿宋" w:hAnsi="华文仿宋" w:eastAsia="华文仿宋"/>
          <w:bCs/>
          <w:sz w:val="24"/>
          <w:szCs w:val="24"/>
        </w:rPr>
        <w:t>60</w:t>
      </w:r>
      <w:r>
        <w:rPr>
          <w:rFonts w:hint="eastAsia" w:ascii="华文仿宋" w:hAnsi="华文仿宋" w:eastAsia="华文仿宋"/>
          <w:bCs/>
          <w:sz w:val="24"/>
          <w:szCs w:val="24"/>
        </w:rPr>
        <w:t>目标提出以来，社会各界对“双碳”人才需求激增。2022年，人社部公布新修订的《中华人民共和国职业分类大典》，其中新增绿色职业134个，约占职业总数的8%，碳汇交易师等均为新增收录的“双碳”相关职业。根据相关部门公布的数据显示，未来5</w:t>
      </w:r>
      <w:r>
        <w:rPr>
          <w:rFonts w:ascii="华文仿宋" w:hAnsi="华文仿宋" w:eastAsia="华文仿宋"/>
          <w:bCs/>
          <w:sz w:val="24"/>
          <w:szCs w:val="24"/>
        </w:rPr>
        <w:t>-10</w:t>
      </w:r>
      <w:r>
        <w:rPr>
          <w:rFonts w:hint="eastAsia" w:ascii="华文仿宋" w:hAnsi="华文仿宋" w:eastAsia="华文仿宋"/>
          <w:bCs/>
          <w:sz w:val="24"/>
          <w:szCs w:val="24"/>
        </w:rPr>
        <w:t>年，中国需要的“双碳”人才将达到百万级别。而目前的相关从业者仅为10万名左右，存在较大的人才缺口。因此，基于数智化背景下的碳信息披露、碳资产管理、碳交易与碳金融等相关工作，有望成为未来黄金职业。</w:t>
      </w:r>
    </w:p>
    <w:p>
      <w:pPr>
        <w:widowControl/>
        <w:spacing w:before="312" w:beforeLines="100"/>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本微专业坚持立德树人，以数智化时代大数据的分析与应用为技术支撑，从环境、社会、经济等角度出发，旨在培养具有社会主义核心价值观，对碳中和相关理论与实践有深入理解，熟悉全球可持续发展议程，系统掌握碳中和路径、碳信息披露标准、低碳管理等方面专业知识，具备较强的分析问题、解决问题、交流合作、组织管理等能力，能从事碳披露、碳管理、碳金融等碳中和领域急需的应用型、复合型人才。</w:t>
      </w:r>
    </w:p>
    <w:p>
      <w:pPr>
        <w:widowControl/>
        <w:spacing w:before="156" w:beforeLines="50" w:after="120"/>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pPr>
        <w:widowControl/>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1. 所有课程考试或考查结果在及格或以上；</w:t>
      </w:r>
    </w:p>
    <w:p>
      <w:pPr>
        <w:widowControl/>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2. 具备可持续发展思维和碳中和理念，即能够将可持续发展、碳中和理念与本专业或其他跨学科专业联系起来，分析复杂问题；</w:t>
      </w:r>
    </w:p>
    <w:p>
      <w:pPr>
        <w:widowControl/>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3. 具备数字化可持续发展创新能力：能够将大数据分析运用与可持续发展和碳中和领域，解决专业或实践中的复杂问题；</w:t>
      </w:r>
    </w:p>
    <w:p>
      <w:pPr>
        <w:widowControl/>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4. 能够在国际化多元环境下进行有效沟通和交流，具有良好的团队协作精神和自主学习能力。</w:t>
      </w:r>
    </w:p>
    <w:p>
      <w:pPr>
        <w:widowControl/>
        <w:spacing w:before="156" w:beforeLines="50" w:after="120"/>
        <w:ind w:firstLine="560" w:firstLineChars="200"/>
        <w:jc w:val="left"/>
        <w:rPr>
          <w:rFonts w:ascii="黑体" w:hAnsi="黑体" w:eastAsia="黑体" w:cs="黑体"/>
          <w:bCs/>
          <w:sz w:val="28"/>
          <w:szCs w:val="28"/>
        </w:rPr>
      </w:pPr>
      <w:r>
        <w:rPr>
          <w:rFonts w:hint="eastAsia" w:ascii="黑体" w:hAnsi="黑体" w:eastAsia="黑体" w:cs="黑体"/>
          <w:bCs/>
          <w:sz w:val="28"/>
          <w:szCs w:val="28"/>
        </w:rPr>
        <w:t>三、招生对象与条件</w:t>
      </w:r>
    </w:p>
    <w:p>
      <w:pPr>
        <w:widowControl/>
        <w:spacing w:before="312" w:beforeLines="100"/>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本微专业面向全校一年级、二年级、三年级本科生招生（原则上30人以上开班）。学生学有余力，主修专业无不及格课程，对数字可持续发展、低碳、绿色经济管理有浓厚兴趣的，可报名参加，择优录取。</w:t>
      </w:r>
    </w:p>
    <w:p>
      <w:pPr>
        <w:widowControl/>
        <w:spacing w:before="156" w:beforeLines="50" w:after="120"/>
        <w:ind w:firstLine="560" w:firstLineChars="200"/>
        <w:jc w:val="left"/>
        <w:rPr>
          <w:rFonts w:ascii="黑体" w:hAnsi="黑体" w:eastAsia="黑体" w:cs="黑体"/>
          <w:bCs/>
          <w:sz w:val="28"/>
          <w:szCs w:val="28"/>
        </w:rPr>
      </w:pPr>
      <w:r>
        <w:rPr>
          <w:rFonts w:hint="eastAsia" w:ascii="黑体" w:hAnsi="黑体" w:eastAsia="黑体" w:cs="黑体"/>
          <w:bCs/>
          <w:sz w:val="28"/>
          <w:szCs w:val="28"/>
        </w:rPr>
        <w:t>四、学分与证书</w:t>
      </w:r>
    </w:p>
    <w:p>
      <w:pPr>
        <w:widowControl/>
        <w:spacing w:before="312" w:beforeLines="100"/>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本微专业设置</w:t>
      </w:r>
      <w:r>
        <w:rPr>
          <w:rFonts w:ascii="华文仿宋" w:hAnsi="华文仿宋" w:eastAsia="华文仿宋"/>
          <w:bCs/>
          <w:sz w:val="24"/>
          <w:szCs w:val="24"/>
        </w:rPr>
        <w:t>8</w:t>
      </w:r>
      <w:r>
        <w:rPr>
          <w:rFonts w:hint="eastAsia" w:ascii="华文仿宋" w:hAnsi="华文仿宋" w:eastAsia="华文仿宋"/>
          <w:bCs/>
          <w:sz w:val="24"/>
          <w:szCs w:val="24"/>
        </w:rPr>
        <w:t>门课程，合计1</w:t>
      </w:r>
      <w:r>
        <w:rPr>
          <w:rFonts w:ascii="华文仿宋" w:hAnsi="华文仿宋" w:eastAsia="华文仿宋"/>
          <w:bCs/>
          <w:sz w:val="24"/>
          <w:szCs w:val="24"/>
        </w:rPr>
        <w:t>6</w:t>
      </w:r>
      <w:r>
        <w:rPr>
          <w:rFonts w:hint="eastAsia" w:ascii="华文仿宋" w:hAnsi="华文仿宋" w:eastAsia="华文仿宋"/>
          <w:bCs/>
          <w:sz w:val="24"/>
          <w:szCs w:val="24"/>
        </w:rPr>
        <w:t>学分，修读年限为两个学期。微专业课程体系包括4门必须课程和4门选修课程。要求学生至少修读1</w:t>
      </w:r>
      <w:r>
        <w:rPr>
          <w:rFonts w:ascii="华文仿宋" w:hAnsi="华文仿宋" w:eastAsia="华文仿宋"/>
          <w:bCs/>
          <w:sz w:val="24"/>
          <w:szCs w:val="24"/>
        </w:rPr>
        <w:t>2</w:t>
      </w:r>
      <w:r>
        <w:rPr>
          <w:rFonts w:hint="eastAsia" w:ascii="华文仿宋" w:hAnsi="华文仿宋" w:eastAsia="华文仿宋"/>
          <w:bCs/>
          <w:sz w:val="24"/>
          <w:szCs w:val="24"/>
        </w:rPr>
        <w:t>学分，并且考核合格方可取得首都经济贸易大学数字碳管理（全英文）微专业证书。</w:t>
      </w:r>
    </w:p>
    <w:p>
      <w:pPr>
        <w:widowControl/>
        <w:spacing w:before="156" w:beforeLines="50" w:after="120"/>
        <w:ind w:firstLine="560" w:firstLineChars="200"/>
        <w:jc w:val="left"/>
        <w:rPr>
          <w:rFonts w:ascii="黑体" w:hAnsi="黑体" w:eastAsia="黑体" w:cs="黑体"/>
          <w:bCs/>
          <w:sz w:val="28"/>
          <w:szCs w:val="28"/>
        </w:rPr>
      </w:pPr>
      <w:r>
        <w:rPr>
          <w:rFonts w:hint="eastAsia" w:ascii="黑体" w:hAnsi="黑体" w:eastAsia="黑体" w:cs="黑体"/>
          <w:bCs/>
          <w:sz w:val="28"/>
          <w:szCs w:val="28"/>
        </w:rPr>
        <w:t>五、课程设置</w:t>
      </w:r>
    </w:p>
    <w:p>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rPr>
        <w:t>数字碳管理（全英文）微专业课程设置及教学进程计划表</w:t>
      </w:r>
    </w:p>
    <w:tbl>
      <w:tblPr>
        <w:tblStyle w:val="4"/>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1248"/>
        <w:gridCol w:w="641"/>
        <w:gridCol w:w="764"/>
        <w:gridCol w:w="791"/>
        <w:gridCol w:w="736"/>
        <w:gridCol w:w="723"/>
        <w:gridCol w:w="730"/>
        <w:gridCol w:w="780"/>
        <w:gridCol w:w="1230"/>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1248" w:type="dxa"/>
            <w:vMerge w:val="restart"/>
            <w:vAlign w:val="center"/>
          </w:tcPr>
          <w:p>
            <w:pPr>
              <w:widowControl/>
              <w:jc w:val="center"/>
              <w:rPr>
                <w:rFonts w:ascii="黑体" w:hAnsi="黑体" w:eastAsia="黑体"/>
                <w:bCs/>
                <w:sz w:val="18"/>
                <w:szCs w:val="18"/>
              </w:rPr>
            </w:pPr>
            <w:r>
              <w:rPr>
                <w:rFonts w:hint="eastAsia" w:ascii="黑体" w:hAnsi="黑体" w:eastAsia="黑体"/>
                <w:bCs/>
                <w:sz w:val="18"/>
                <w:szCs w:val="18"/>
              </w:rPr>
              <w:t>课程代码</w:t>
            </w:r>
          </w:p>
        </w:tc>
        <w:tc>
          <w:tcPr>
            <w:tcW w:w="641"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764" w:type="dxa"/>
            <w:vMerge w:val="restart"/>
            <w:vAlign w:val="center"/>
          </w:tcPr>
          <w:p>
            <w:pPr>
              <w:widowControl/>
              <w:jc w:val="center"/>
              <w:rPr>
                <w:rFonts w:ascii="黑体" w:hAnsi="黑体" w:eastAsia="黑体"/>
                <w:bCs/>
                <w:sz w:val="18"/>
                <w:szCs w:val="18"/>
              </w:rPr>
            </w:pPr>
            <w:r>
              <w:rPr>
                <w:rFonts w:ascii="黑体" w:hAnsi="黑体" w:eastAsia="黑体"/>
                <w:bCs/>
                <w:sz w:val="18"/>
              </w:rPr>
              <w:t>总学时</w:t>
            </w:r>
          </w:p>
        </w:tc>
        <w:tc>
          <w:tcPr>
            <w:tcW w:w="2980" w:type="dxa"/>
            <w:gridSpan w:val="4"/>
            <w:tcBorders>
              <w:bottom w:val="single" w:color="auto" w:sz="4" w:space="0"/>
            </w:tcBorders>
            <w:vAlign w:val="center"/>
          </w:tcPr>
          <w:p>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780"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hint="eastAsia" w:ascii="黑体" w:hAnsi="黑体" w:eastAsia="黑体"/>
                <w:bCs/>
                <w:sz w:val="18"/>
                <w:szCs w:val="18"/>
              </w:rPr>
              <w:t>考核</w:t>
            </w:r>
          </w:p>
          <w:p>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1230" w:type="dxa"/>
            <w:vMerge w:val="restart"/>
            <w:tcBorders>
              <w:bottom w:val="single" w:color="auto" w:sz="4" w:space="0"/>
            </w:tcBorders>
            <w:vAlign w:val="center"/>
          </w:tcPr>
          <w:p>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16" w:type="dxa"/>
            <w:vMerge w:val="restart"/>
            <w:tcBorders>
              <w:bottom w:val="single" w:color="auto" w:sz="4" w:space="0"/>
            </w:tcBorders>
            <w:vAlign w:val="center"/>
          </w:tcPr>
          <w:p>
            <w:pPr>
              <w:widowControl/>
              <w:snapToGrid w:val="0"/>
              <w:jc w:val="center"/>
              <w:rPr>
                <w:rFonts w:ascii="黑体" w:hAnsi="黑体" w:eastAsia="黑体"/>
                <w:bCs/>
                <w:sz w:val="18"/>
                <w:szCs w:val="18"/>
              </w:rPr>
            </w:pPr>
            <w:r>
              <w:rPr>
                <w:rFonts w:ascii="黑体" w:hAnsi="黑体" w:eastAsia="黑体"/>
                <w:bCs/>
                <w:sz w:val="18"/>
                <w:szCs w:val="18"/>
              </w:rPr>
              <w:t>开课</w:t>
            </w:r>
          </w:p>
          <w:p>
            <w:pPr>
              <w:widowControl/>
              <w:jc w:val="center"/>
              <w:rPr>
                <w:rFonts w:ascii="黑体" w:hAnsi="黑体" w:eastAsia="黑体"/>
                <w:bCs/>
                <w:spacing w:val="20"/>
                <w:sz w:val="18"/>
                <w:szCs w:val="18"/>
              </w:rPr>
            </w:pPr>
            <w:r>
              <w:rPr>
                <w:rFonts w:hint="eastAsia" w:ascii="黑体" w:hAnsi="黑体" w:eastAsia="黑体"/>
                <w:bCs/>
                <w:sz w:val="18"/>
                <w:szCs w:val="1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Merge w:val="continue"/>
            <w:vAlign w:val="center"/>
          </w:tcPr>
          <w:p>
            <w:pPr>
              <w:widowControl/>
              <w:jc w:val="center"/>
              <w:rPr>
                <w:rFonts w:ascii="仿宋" w:hAnsi="仿宋" w:eastAsia="仿宋"/>
                <w:b/>
                <w:spacing w:val="20"/>
                <w:sz w:val="21"/>
                <w:szCs w:val="21"/>
              </w:rPr>
            </w:pPr>
          </w:p>
        </w:tc>
        <w:tc>
          <w:tcPr>
            <w:tcW w:w="1248" w:type="dxa"/>
            <w:vMerge w:val="continue"/>
            <w:vAlign w:val="center"/>
          </w:tcPr>
          <w:p>
            <w:pPr>
              <w:widowControl/>
              <w:jc w:val="center"/>
              <w:rPr>
                <w:rFonts w:ascii="仿宋" w:hAnsi="仿宋" w:eastAsia="仿宋"/>
                <w:b/>
                <w:spacing w:val="20"/>
                <w:sz w:val="21"/>
                <w:szCs w:val="21"/>
              </w:rPr>
            </w:pPr>
          </w:p>
        </w:tc>
        <w:tc>
          <w:tcPr>
            <w:tcW w:w="641" w:type="dxa"/>
            <w:vMerge w:val="continue"/>
            <w:vAlign w:val="center"/>
          </w:tcPr>
          <w:p>
            <w:pPr>
              <w:widowControl/>
              <w:jc w:val="center"/>
              <w:rPr>
                <w:rFonts w:ascii="仿宋" w:hAnsi="仿宋" w:eastAsia="仿宋"/>
                <w:b/>
                <w:spacing w:val="20"/>
                <w:sz w:val="21"/>
                <w:szCs w:val="21"/>
              </w:rPr>
            </w:pPr>
          </w:p>
        </w:tc>
        <w:tc>
          <w:tcPr>
            <w:tcW w:w="764" w:type="dxa"/>
            <w:vMerge w:val="continue"/>
            <w:vAlign w:val="center"/>
          </w:tcPr>
          <w:p>
            <w:pPr>
              <w:widowControl/>
              <w:jc w:val="center"/>
              <w:rPr>
                <w:rFonts w:ascii="仿宋" w:hAnsi="仿宋" w:eastAsia="仿宋"/>
                <w:b/>
                <w:spacing w:val="20"/>
                <w:sz w:val="21"/>
                <w:szCs w:val="21"/>
              </w:rPr>
            </w:pPr>
          </w:p>
        </w:tc>
        <w:tc>
          <w:tcPr>
            <w:tcW w:w="791" w:type="dxa"/>
            <w:vAlign w:val="center"/>
          </w:tcPr>
          <w:p>
            <w:pPr>
              <w:widowControl/>
              <w:jc w:val="center"/>
              <w:rPr>
                <w:rFonts w:ascii="黑体" w:hAnsi="黑体" w:eastAsia="黑体"/>
                <w:bCs/>
                <w:spacing w:val="20"/>
                <w:sz w:val="21"/>
                <w:szCs w:val="21"/>
              </w:rPr>
            </w:pPr>
            <w:r>
              <w:rPr>
                <w:rFonts w:hint="eastAsia" w:ascii="黑体" w:hAnsi="黑体" w:eastAsia="黑体"/>
                <w:bCs/>
                <w:sz w:val="18"/>
              </w:rPr>
              <w:t>理论</w:t>
            </w:r>
          </w:p>
        </w:tc>
        <w:tc>
          <w:tcPr>
            <w:tcW w:w="736" w:type="dxa"/>
            <w:vAlign w:val="center"/>
          </w:tcPr>
          <w:p>
            <w:pPr>
              <w:widowControl/>
              <w:jc w:val="center"/>
              <w:rPr>
                <w:rFonts w:ascii="黑体" w:hAnsi="黑体" w:eastAsia="黑体"/>
                <w:bCs/>
                <w:spacing w:val="20"/>
                <w:sz w:val="21"/>
                <w:szCs w:val="21"/>
              </w:rPr>
            </w:pPr>
            <w:r>
              <w:rPr>
                <w:rFonts w:hint="eastAsia" w:ascii="黑体" w:hAnsi="黑体" w:eastAsia="黑体"/>
                <w:bCs/>
                <w:sz w:val="18"/>
              </w:rPr>
              <w:t>实践</w:t>
            </w:r>
          </w:p>
        </w:tc>
        <w:tc>
          <w:tcPr>
            <w:tcW w:w="723" w:type="dxa"/>
            <w:vAlign w:val="center"/>
          </w:tcPr>
          <w:p>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30" w:type="dxa"/>
            <w:vAlign w:val="center"/>
          </w:tcPr>
          <w:p>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780" w:type="dxa"/>
            <w:vMerge w:val="continue"/>
            <w:vAlign w:val="center"/>
          </w:tcPr>
          <w:p>
            <w:pPr>
              <w:widowControl/>
              <w:jc w:val="center"/>
              <w:rPr>
                <w:rFonts w:ascii="仿宋" w:hAnsi="仿宋" w:eastAsia="仿宋"/>
                <w:b/>
                <w:spacing w:val="20"/>
                <w:sz w:val="21"/>
                <w:szCs w:val="21"/>
              </w:rPr>
            </w:pPr>
          </w:p>
        </w:tc>
        <w:tc>
          <w:tcPr>
            <w:tcW w:w="1230" w:type="dxa"/>
            <w:vMerge w:val="continue"/>
            <w:vAlign w:val="center"/>
          </w:tcPr>
          <w:p>
            <w:pPr>
              <w:widowControl/>
              <w:jc w:val="center"/>
              <w:rPr>
                <w:rFonts w:ascii="仿宋" w:hAnsi="仿宋" w:eastAsia="仿宋"/>
                <w:b/>
                <w:spacing w:val="20"/>
                <w:sz w:val="21"/>
                <w:szCs w:val="21"/>
              </w:rPr>
            </w:pPr>
          </w:p>
        </w:tc>
        <w:tc>
          <w:tcPr>
            <w:tcW w:w="716" w:type="dxa"/>
            <w:vMerge w:val="continue"/>
            <w:vAlign w:val="center"/>
          </w:tcPr>
          <w:p>
            <w:pPr>
              <w:widowControl/>
              <w:jc w:val="center"/>
              <w:rPr>
                <w:rFonts w:ascii="仿宋" w:hAnsi="仿宋" w:eastAsia="仿宋"/>
                <w:b/>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可持续发展导论</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V1424012B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0</w:t>
            </w:r>
          </w:p>
        </w:tc>
        <w:tc>
          <w:tcPr>
            <w:tcW w:w="723"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2</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r>
              <w:rPr>
                <w:rFonts w:ascii="华文仿宋" w:hAnsi="华文仿宋" w:eastAsia="华文仿宋"/>
                <w:bCs/>
                <w:spacing w:val="20"/>
                <w:sz w:val="18"/>
                <w:szCs w:val="18"/>
              </w:rPr>
              <w:t>0</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气候经济学</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V1424022B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0</w:t>
            </w:r>
          </w:p>
        </w:tc>
        <w:tc>
          <w:tcPr>
            <w:tcW w:w="723"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2</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r>
              <w:rPr>
                <w:rFonts w:ascii="华文仿宋" w:hAnsi="华文仿宋" w:eastAsia="华文仿宋"/>
                <w:bCs/>
                <w:spacing w:val="20"/>
                <w:sz w:val="18"/>
                <w:szCs w:val="18"/>
              </w:rPr>
              <w:t>0</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E</w:t>
            </w:r>
            <w:r>
              <w:rPr>
                <w:rFonts w:ascii="华文仿宋" w:hAnsi="华文仿宋" w:eastAsia="华文仿宋"/>
                <w:bCs/>
                <w:spacing w:val="20"/>
                <w:sz w:val="18"/>
                <w:szCs w:val="18"/>
              </w:rPr>
              <w:t>SG</w:t>
            </w:r>
            <w:r>
              <w:rPr>
                <w:rFonts w:hint="eastAsia" w:ascii="华文仿宋" w:hAnsi="华文仿宋" w:eastAsia="华文仿宋"/>
                <w:bCs/>
                <w:spacing w:val="20"/>
                <w:sz w:val="18"/>
                <w:szCs w:val="18"/>
              </w:rPr>
              <w:t>信息披露</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V1424032B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23"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绿色金融</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V1424042B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0</w:t>
            </w:r>
          </w:p>
        </w:tc>
        <w:tc>
          <w:tcPr>
            <w:tcW w:w="723"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2</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r>
              <w:rPr>
                <w:rFonts w:ascii="华文仿宋" w:hAnsi="华文仿宋" w:eastAsia="华文仿宋"/>
                <w:bCs/>
                <w:spacing w:val="20"/>
                <w:sz w:val="18"/>
                <w:szCs w:val="18"/>
              </w:rPr>
              <w:t>0</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Python在可持续化发展中的应用</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V1424052B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23"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量化责任投资</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V1424062B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23"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碳核算与碳管理</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V1424072B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0</w:t>
            </w:r>
          </w:p>
        </w:tc>
        <w:tc>
          <w:tcPr>
            <w:tcW w:w="723"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2</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r>
              <w:rPr>
                <w:rFonts w:ascii="华文仿宋" w:hAnsi="华文仿宋" w:eastAsia="华文仿宋"/>
                <w:bCs/>
                <w:spacing w:val="20"/>
                <w:sz w:val="18"/>
                <w:szCs w:val="18"/>
              </w:rPr>
              <w:t>0</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碳交易</w:t>
            </w:r>
          </w:p>
        </w:tc>
        <w:tc>
          <w:tcPr>
            <w:tcW w:w="1248" w:type="dxa"/>
            <w:vAlign w:val="center"/>
          </w:tcPr>
          <w:p>
            <w:pPr>
              <w:widowControl/>
              <w:jc w:val="center"/>
              <w:rPr>
                <w:rFonts w:hint="eastAsia" w:ascii="华文仿宋" w:hAnsi="华文仿宋" w:eastAsia="华文仿宋"/>
                <w:bCs/>
                <w:spacing w:val="20"/>
                <w:sz w:val="18"/>
                <w:szCs w:val="18"/>
              </w:rPr>
            </w:pPr>
            <w:r>
              <w:rPr>
                <w:rFonts w:hint="default" w:ascii="华文仿宋" w:hAnsi="华文仿宋" w:eastAsia="华文仿宋"/>
                <w:bCs/>
                <w:spacing w:val="20"/>
                <w:sz w:val="18"/>
                <w:szCs w:val="18"/>
                <w:lang w:val="en-US" w:eastAsia="zh-CN"/>
              </w:rPr>
              <w:t>V1424082B</w:t>
            </w:r>
          </w:p>
        </w:tc>
        <w:tc>
          <w:tcPr>
            <w:tcW w:w="64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2</w:t>
            </w:r>
          </w:p>
        </w:tc>
        <w:tc>
          <w:tcPr>
            <w:tcW w:w="764"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3</w:t>
            </w:r>
            <w:r>
              <w:rPr>
                <w:rFonts w:ascii="华文仿宋" w:hAnsi="华文仿宋" w:eastAsia="华文仿宋"/>
                <w:bCs/>
                <w:spacing w:val="20"/>
                <w:sz w:val="18"/>
                <w:szCs w:val="18"/>
              </w:rPr>
              <w:t>2</w:t>
            </w:r>
          </w:p>
        </w:tc>
        <w:tc>
          <w:tcPr>
            <w:tcW w:w="791"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36"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23" w:type="dxa"/>
            <w:vAlign w:val="center"/>
          </w:tcPr>
          <w:p>
            <w:pPr>
              <w:widowControl/>
              <w:jc w:val="center"/>
              <w:rPr>
                <w:rFonts w:ascii="华文仿宋" w:hAnsi="华文仿宋" w:eastAsia="华文仿宋"/>
                <w:bCs/>
                <w:spacing w:val="20"/>
                <w:sz w:val="18"/>
                <w:szCs w:val="18"/>
              </w:rPr>
            </w:pPr>
            <w:r>
              <w:rPr>
                <w:rFonts w:ascii="华文仿宋" w:hAnsi="华文仿宋" w:eastAsia="华文仿宋"/>
                <w:bCs/>
                <w:spacing w:val="20"/>
                <w:sz w:val="18"/>
                <w:szCs w:val="18"/>
              </w:rPr>
              <w:t>16</w:t>
            </w:r>
          </w:p>
        </w:tc>
        <w:tc>
          <w:tcPr>
            <w:tcW w:w="73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1</w:t>
            </w:r>
            <w:r>
              <w:rPr>
                <w:rFonts w:ascii="华文仿宋" w:hAnsi="华文仿宋" w:eastAsia="华文仿宋"/>
                <w:bCs/>
                <w:spacing w:val="20"/>
                <w:sz w:val="18"/>
                <w:szCs w:val="18"/>
              </w:rPr>
              <w:t>6</w:t>
            </w:r>
          </w:p>
        </w:tc>
        <w:tc>
          <w:tcPr>
            <w:tcW w:w="780" w:type="dxa"/>
            <w:vAlign w:val="center"/>
          </w:tcPr>
          <w:p>
            <w:pPr>
              <w:widowControl/>
              <w:jc w:val="center"/>
              <w:rPr>
                <w:rFonts w:ascii="华文仿宋" w:hAnsi="华文仿宋" w:eastAsia="华文仿宋"/>
                <w:bCs/>
                <w:spacing w:val="20"/>
                <w:sz w:val="18"/>
                <w:szCs w:val="18"/>
              </w:rPr>
            </w:pPr>
            <w:r>
              <w:rPr>
                <w:rFonts w:hint="eastAsia" w:ascii="华文仿宋" w:hAnsi="华文仿宋" w:eastAsia="华文仿宋"/>
                <w:bCs/>
                <w:spacing w:val="20"/>
                <w:sz w:val="18"/>
                <w:szCs w:val="18"/>
              </w:rPr>
              <w:t>考查</w:t>
            </w:r>
          </w:p>
        </w:tc>
        <w:tc>
          <w:tcPr>
            <w:tcW w:w="1230" w:type="dxa"/>
            <w:vAlign w:val="center"/>
          </w:tcPr>
          <w:p>
            <w:pPr>
              <w:widowControl/>
              <w:jc w:val="center"/>
              <w:rPr>
                <w:rFonts w:ascii="仿宋" w:hAnsi="仿宋" w:eastAsia="仿宋"/>
                <w:b/>
                <w:spacing w:val="20"/>
                <w:sz w:val="18"/>
                <w:szCs w:val="18"/>
              </w:rPr>
            </w:pPr>
            <w:r>
              <w:rPr>
                <w:rFonts w:hint="eastAsia" w:ascii="华文仿宋" w:hAnsi="华文仿宋" w:eastAsia="华文仿宋"/>
                <w:bCs/>
                <w:spacing w:val="20"/>
                <w:sz w:val="18"/>
                <w:szCs w:val="18"/>
              </w:rPr>
              <w:t>华侨学院</w:t>
            </w:r>
          </w:p>
        </w:tc>
        <w:tc>
          <w:tcPr>
            <w:tcW w:w="716" w:type="dxa"/>
            <w:vAlign w:val="center"/>
          </w:tcPr>
          <w:p>
            <w:pPr>
              <w:widowControl/>
              <w:jc w:val="center"/>
              <w:rPr>
                <w:rFonts w:ascii="仿宋" w:hAnsi="仿宋" w:eastAsia="仿宋"/>
                <w:bCs/>
                <w:spacing w:val="20"/>
                <w:sz w:val="18"/>
                <w:szCs w:val="18"/>
              </w:rPr>
            </w:pPr>
            <w:r>
              <w:rPr>
                <w:rFonts w:ascii="仿宋" w:hAnsi="仿宋" w:eastAsia="仿宋"/>
                <w:bCs/>
                <w:spacing w:val="20"/>
                <w:sz w:val="18"/>
                <w:szCs w:val="18"/>
              </w:rPr>
              <w:t>1-</w:t>
            </w:r>
            <w:r>
              <w:rPr>
                <w:rFonts w:hint="eastAsia" w:ascii="仿宋" w:hAnsi="仿宋" w:eastAsia="仿宋"/>
                <w:bCs/>
                <w:spacing w:val="2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47"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合计</w:t>
            </w:r>
          </w:p>
        </w:tc>
        <w:tc>
          <w:tcPr>
            <w:tcW w:w="1248" w:type="dxa"/>
            <w:tcBorders>
              <w:bottom w:val="single" w:color="auto" w:sz="4" w:space="0"/>
            </w:tcBorders>
            <w:vAlign w:val="center"/>
          </w:tcPr>
          <w:p>
            <w:pPr>
              <w:widowControl/>
              <w:jc w:val="center"/>
              <w:rPr>
                <w:rFonts w:ascii="仿宋" w:hAnsi="仿宋" w:eastAsia="仿宋"/>
                <w:b/>
                <w:spacing w:val="20"/>
                <w:sz w:val="18"/>
                <w:szCs w:val="18"/>
              </w:rPr>
            </w:pPr>
          </w:p>
        </w:tc>
        <w:tc>
          <w:tcPr>
            <w:tcW w:w="641"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1</w:t>
            </w:r>
            <w:r>
              <w:rPr>
                <w:rFonts w:ascii="黑体" w:hAnsi="黑体" w:eastAsia="黑体"/>
                <w:bCs/>
                <w:sz w:val="18"/>
                <w:szCs w:val="18"/>
              </w:rPr>
              <w:t>6</w:t>
            </w:r>
          </w:p>
        </w:tc>
        <w:tc>
          <w:tcPr>
            <w:tcW w:w="764"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2</w:t>
            </w:r>
            <w:r>
              <w:rPr>
                <w:rFonts w:ascii="黑体" w:hAnsi="黑体" w:eastAsia="黑体"/>
                <w:bCs/>
                <w:sz w:val="18"/>
                <w:szCs w:val="18"/>
              </w:rPr>
              <w:t>56</w:t>
            </w:r>
          </w:p>
        </w:tc>
        <w:tc>
          <w:tcPr>
            <w:tcW w:w="791"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1</w:t>
            </w:r>
            <w:r>
              <w:rPr>
                <w:rFonts w:ascii="黑体" w:hAnsi="黑体" w:eastAsia="黑体"/>
                <w:bCs/>
                <w:sz w:val="18"/>
                <w:szCs w:val="18"/>
              </w:rPr>
              <w:t>92</w:t>
            </w:r>
          </w:p>
        </w:tc>
        <w:tc>
          <w:tcPr>
            <w:tcW w:w="736"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6</w:t>
            </w:r>
            <w:r>
              <w:rPr>
                <w:rFonts w:ascii="黑体" w:hAnsi="黑体" w:eastAsia="黑体"/>
                <w:bCs/>
                <w:sz w:val="18"/>
                <w:szCs w:val="18"/>
              </w:rPr>
              <w:t>4</w:t>
            </w:r>
          </w:p>
        </w:tc>
        <w:tc>
          <w:tcPr>
            <w:tcW w:w="723"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1</w:t>
            </w:r>
            <w:r>
              <w:rPr>
                <w:rFonts w:ascii="黑体" w:hAnsi="黑体" w:eastAsia="黑体"/>
                <w:bCs/>
                <w:sz w:val="18"/>
                <w:szCs w:val="18"/>
              </w:rPr>
              <w:t>12</w:t>
            </w:r>
          </w:p>
        </w:tc>
        <w:tc>
          <w:tcPr>
            <w:tcW w:w="730" w:type="dxa"/>
            <w:tcBorders>
              <w:bottom w:val="single" w:color="auto" w:sz="4" w:space="0"/>
            </w:tcBorders>
            <w:vAlign w:val="center"/>
          </w:tcPr>
          <w:p>
            <w:pPr>
              <w:widowControl/>
              <w:jc w:val="center"/>
              <w:rPr>
                <w:rFonts w:ascii="黑体" w:hAnsi="黑体" w:eastAsia="黑体"/>
                <w:bCs/>
                <w:sz w:val="18"/>
                <w:szCs w:val="18"/>
              </w:rPr>
            </w:pPr>
            <w:r>
              <w:rPr>
                <w:rFonts w:hint="eastAsia" w:ascii="黑体" w:hAnsi="黑体" w:eastAsia="黑体"/>
                <w:bCs/>
                <w:sz w:val="18"/>
                <w:szCs w:val="18"/>
              </w:rPr>
              <w:t>1</w:t>
            </w:r>
            <w:r>
              <w:rPr>
                <w:rFonts w:ascii="黑体" w:hAnsi="黑体" w:eastAsia="黑体"/>
                <w:bCs/>
                <w:sz w:val="18"/>
                <w:szCs w:val="18"/>
              </w:rPr>
              <w:t>44</w:t>
            </w:r>
          </w:p>
        </w:tc>
        <w:tc>
          <w:tcPr>
            <w:tcW w:w="780" w:type="dxa"/>
            <w:tcBorders>
              <w:bottom w:val="single" w:color="auto" w:sz="4" w:space="0"/>
            </w:tcBorders>
            <w:vAlign w:val="center"/>
          </w:tcPr>
          <w:p>
            <w:pPr>
              <w:widowControl/>
              <w:jc w:val="center"/>
              <w:rPr>
                <w:rFonts w:ascii="仿宋" w:hAnsi="仿宋" w:eastAsia="仿宋"/>
                <w:b/>
                <w:spacing w:val="20"/>
                <w:sz w:val="18"/>
                <w:szCs w:val="18"/>
              </w:rPr>
            </w:pPr>
          </w:p>
        </w:tc>
        <w:tc>
          <w:tcPr>
            <w:tcW w:w="1230"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16" w:type="dxa"/>
            <w:tcBorders>
              <w:bottom w:val="single" w:color="auto" w:sz="4" w:space="0"/>
            </w:tcBorders>
            <w:vAlign w:val="center"/>
          </w:tcPr>
          <w:p>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r>
    </w:tbl>
    <w:p>
      <w:pPr>
        <w:widowControl/>
        <w:spacing w:line="360" w:lineRule="auto"/>
        <w:rPr>
          <w:rFonts w:ascii="仿宋" w:hAnsi="仿宋" w:eastAsia="仿宋"/>
          <w:b/>
          <w:sz w:val="18"/>
          <w:szCs w:val="18"/>
        </w:rPr>
      </w:pPr>
      <w:r>
        <w:rPr>
          <w:rFonts w:hint="eastAsia" w:ascii="仿宋" w:hAnsi="仿宋" w:eastAsia="仿宋"/>
          <w:b/>
          <w:sz w:val="18"/>
          <w:szCs w:val="18"/>
        </w:rPr>
        <w:t>备注：</w:t>
      </w:r>
      <w:bookmarkStart w:id="0" w:name="_GoBack"/>
      <w:bookmarkEnd w:id="0"/>
    </w:p>
    <w:p>
      <w:pPr>
        <w:widowControl/>
        <w:rPr>
          <w:rFonts w:ascii="仿宋" w:hAnsi="仿宋" w:eastAsia="仿宋"/>
          <w:sz w:val="18"/>
          <w:szCs w:val="18"/>
        </w:rPr>
      </w:pPr>
      <w:r>
        <w:rPr>
          <w:rFonts w:hint="eastAsia" w:ascii="仿宋" w:hAnsi="仿宋" w:eastAsia="仿宋"/>
          <w:sz w:val="18"/>
          <w:szCs w:val="18"/>
        </w:rPr>
        <w:t>1.</w:t>
      </w:r>
      <w:r>
        <w:rPr>
          <w:rFonts w:ascii="仿宋" w:hAnsi="仿宋" w:eastAsia="仿宋"/>
          <w:sz w:val="18"/>
          <w:szCs w:val="18"/>
        </w:rPr>
        <w:t xml:space="preserve"> </w:t>
      </w:r>
      <w:r>
        <w:rPr>
          <w:rFonts w:hint="eastAsia" w:ascii="仿宋" w:hAnsi="仿宋" w:eastAsia="仿宋"/>
          <w:sz w:val="18"/>
          <w:szCs w:val="18"/>
        </w:rPr>
        <w:t>总学时=理论学时+实践学时（实践教学含实验和上机教学），总学时=线上学时+线下学时；</w:t>
      </w:r>
    </w:p>
    <w:p>
      <w:pPr>
        <w:widowControl/>
        <w:ind w:left="360" w:hanging="360" w:hangingChars="200"/>
        <w:rPr>
          <w:rFonts w:ascii="仿宋" w:hAnsi="仿宋" w:eastAsia="仿宋"/>
          <w:bCs/>
          <w:sz w:val="18"/>
          <w:szCs w:val="18"/>
        </w:rPr>
      </w:pPr>
      <w:r>
        <w:rPr>
          <w:rFonts w:hint="eastAsia" w:ascii="仿宋" w:hAnsi="仿宋" w:eastAsia="仿宋"/>
          <w:sz w:val="18"/>
          <w:szCs w:val="18"/>
        </w:rPr>
        <w:t>2.</w:t>
      </w:r>
      <w:r>
        <w:rPr>
          <w:rFonts w:ascii="仿宋" w:hAnsi="仿宋" w:eastAsia="仿宋"/>
          <w:sz w:val="18"/>
          <w:szCs w:val="18"/>
        </w:rPr>
        <w:t xml:space="preserve"> </w:t>
      </w:r>
      <w:r>
        <w:rPr>
          <w:rFonts w:hint="eastAsia" w:ascii="仿宋" w:hAnsi="仿宋" w:eastAsia="仿宋"/>
          <w:sz w:val="18"/>
          <w:szCs w:val="18"/>
        </w:rPr>
        <w:t>课程代码由教务处统一编制；“开课学期”根据</w:t>
      </w:r>
      <w:r>
        <w:rPr>
          <w:rFonts w:ascii="仿宋" w:hAnsi="仿宋" w:eastAsia="仿宋"/>
          <w:sz w:val="18"/>
          <w:szCs w:val="18"/>
        </w:rPr>
        <w:t>4</w:t>
      </w:r>
      <w:r>
        <w:rPr>
          <w:rFonts w:hint="eastAsia" w:ascii="仿宋" w:hAnsi="仿宋" w:eastAsia="仿宋"/>
          <w:sz w:val="18"/>
          <w:szCs w:val="18"/>
        </w:rPr>
        <w:t>年制内实际开课学期填写1-1、1-2、2-1、2-2、3</w:t>
      </w:r>
      <w:r>
        <w:rPr>
          <w:rFonts w:ascii="仿宋" w:hAnsi="仿宋" w:eastAsia="仿宋"/>
          <w:sz w:val="18"/>
          <w:szCs w:val="18"/>
        </w:rPr>
        <w:t>-1</w:t>
      </w:r>
      <w:r>
        <w:rPr>
          <w:rFonts w:hint="eastAsia" w:ascii="仿宋" w:hAnsi="仿宋" w:eastAsia="仿宋"/>
          <w:sz w:val="18"/>
          <w:szCs w:val="18"/>
        </w:rPr>
        <w:t>、3</w:t>
      </w:r>
      <w:r>
        <w:rPr>
          <w:rFonts w:ascii="仿宋" w:hAnsi="仿宋" w:eastAsia="仿宋"/>
          <w:sz w:val="18"/>
          <w:szCs w:val="18"/>
        </w:rPr>
        <w:t>-2</w:t>
      </w:r>
      <w:r>
        <w:rPr>
          <w:rFonts w:hint="eastAsia" w:ascii="仿宋" w:hAnsi="仿宋" w:eastAsia="仿宋"/>
          <w:sz w:val="18"/>
          <w:szCs w:val="18"/>
        </w:rPr>
        <w:t>、4</w:t>
      </w:r>
      <w:r>
        <w:rPr>
          <w:rFonts w:ascii="仿宋" w:hAnsi="仿宋" w:eastAsia="仿宋"/>
          <w:sz w:val="18"/>
          <w:szCs w:val="18"/>
        </w:rPr>
        <w:t>-1</w:t>
      </w:r>
      <w:r>
        <w:rPr>
          <w:rFonts w:hint="eastAsia" w:ascii="仿宋" w:hAnsi="仿宋" w:eastAsia="仿宋"/>
          <w:sz w:val="18"/>
          <w:szCs w:val="18"/>
        </w:rPr>
        <w:t>、4</w:t>
      </w:r>
      <w:r>
        <w:rPr>
          <w:rFonts w:ascii="仿宋" w:hAnsi="仿宋" w:eastAsia="仿宋"/>
          <w:sz w:val="18"/>
          <w:szCs w:val="18"/>
        </w:rPr>
        <w:t>-2</w:t>
      </w:r>
      <w:r>
        <w:rPr>
          <w:rFonts w:hint="eastAsia" w:ascii="仿宋" w:hAnsi="仿宋" w:eastAsia="仿宋"/>
          <w:sz w:val="18"/>
          <w:szCs w:val="18"/>
        </w:rPr>
        <w:t>填写，“考核方式”填写考试、考查</w:t>
      </w:r>
      <w:r>
        <w:rPr>
          <w:rFonts w:hint="eastAsia" w:ascii="仿宋" w:hAnsi="仿宋" w:eastAsia="仿宋" w:cs="宋体"/>
          <w:sz w:val="18"/>
          <w:szCs w:val="18"/>
        </w:rPr>
        <w:t>；</w:t>
      </w:r>
    </w:p>
    <w:p>
      <w:pPr>
        <w:widowControl/>
        <w:rPr>
          <w:rFonts w:ascii="仿宋" w:hAnsi="仿宋" w:eastAsia="仿宋"/>
          <w:bCs/>
          <w:sz w:val="18"/>
          <w:szCs w:val="18"/>
        </w:rPr>
      </w:pPr>
      <w:r>
        <w:rPr>
          <w:rFonts w:hint="eastAsia" w:ascii="仿宋" w:hAnsi="仿宋" w:eastAsia="仿宋"/>
          <w:sz w:val="18"/>
          <w:szCs w:val="18"/>
        </w:rPr>
        <w:t>3.</w:t>
      </w:r>
      <w:r>
        <w:rPr>
          <w:rFonts w:ascii="仿宋" w:hAnsi="仿宋" w:eastAsia="仿宋"/>
          <w:sz w:val="18"/>
          <w:szCs w:val="18"/>
        </w:rPr>
        <w:t xml:space="preserve"> </w:t>
      </w:r>
      <w:r>
        <w:rPr>
          <w:rFonts w:hint="eastAsia" w:ascii="仿宋" w:hAnsi="仿宋" w:eastAsia="仿宋"/>
          <w:sz w:val="18"/>
          <w:szCs w:val="18"/>
        </w:rPr>
        <w:t>开课单位填写任课教师所在部门或单位。</w:t>
      </w:r>
    </w:p>
    <w:p>
      <w:pPr>
        <w:widowControl/>
        <w:spacing w:before="156" w:beforeLines="50" w:after="120"/>
        <w:ind w:firstLine="640" w:firstLineChars="200"/>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tbl>
      <w:tblPr>
        <w:tblStyle w:val="4"/>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843"/>
        <w:gridCol w:w="6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891" w:type="dxa"/>
            <w:tcBorders>
              <w:top w:val="single" w:color="auto" w:sz="4" w:space="0"/>
            </w:tcBorders>
            <w:vAlign w:val="center"/>
          </w:tcPr>
          <w:p>
            <w:pPr>
              <w:widowControl/>
              <w:jc w:val="center"/>
              <w:rPr>
                <w:rFonts w:ascii="黑体" w:hAnsi="黑体" w:eastAsia="黑体" w:cs="黑体"/>
                <w:bCs/>
                <w:spacing w:val="20"/>
                <w:sz w:val="24"/>
                <w:szCs w:val="24"/>
              </w:rPr>
            </w:pPr>
            <w:r>
              <w:rPr>
                <w:rFonts w:hint="eastAsia" w:ascii="黑体" w:hAnsi="黑体" w:eastAsia="黑体" w:cs="黑体"/>
                <w:bCs/>
                <w:spacing w:val="20"/>
                <w:sz w:val="24"/>
                <w:szCs w:val="24"/>
              </w:rPr>
              <w:t>序号</w:t>
            </w:r>
          </w:p>
        </w:tc>
        <w:tc>
          <w:tcPr>
            <w:tcW w:w="1843" w:type="dxa"/>
            <w:tcBorders>
              <w:top w:val="single" w:color="auto" w:sz="4" w:space="0"/>
            </w:tcBorders>
            <w:vAlign w:val="center"/>
          </w:tcPr>
          <w:p>
            <w:pPr>
              <w:widowControl/>
              <w:jc w:val="center"/>
              <w:rPr>
                <w:rFonts w:ascii="黑体" w:hAnsi="黑体" w:eastAsia="黑体" w:cs="黑体"/>
                <w:bCs/>
                <w:spacing w:val="20"/>
                <w:sz w:val="24"/>
                <w:szCs w:val="24"/>
              </w:rPr>
            </w:pPr>
            <w:r>
              <w:rPr>
                <w:rFonts w:hint="eastAsia" w:ascii="黑体" w:hAnsi="黑体" w:eastAsia="黑体" w:cs="黑体"/>
                <w:bCs/>
                <w:spacing w:val="20"/>
                <w:sz w:val="24"/>
                <w:szCs w:val="24"/>
              </w:rPr>
              <w:t>课程名称</w:t>
            </w:r>
          </w:p>
        </w:tc>
        <w:tc>
          <w:tcPr>
            <w:tcW w:w="6416" w:type="dxa"/>
            <w:tcBorders>
              <w:top w:val="single" w:color="auto" w:sz="4" w:space="0"/>
              <w:bottom w:val="single" w:color="auto" w:sz="4" w:space="0"/>
            </w:tcBorders>
            <w:vAlign w:val="center"/>
          </w:tcPr>
          <w:p>
            <w:pPr>
              <w:widowControl/>
              <w:jc w:val="center"/>
              <w:rPr>
                <w:rFonts w:ascii="黑体" w:hAnsi="黑体" w:eastAsia="黑体" w:cs="黑体"/>
                <w:bCs/>
                <w:sz w:val="24"/>
                <w:szCs w:val="24"/>
              </w:rPr>
            </w:pPr>
            <w:r>
              <w:rPr>
                <w:rFonts w:hint="eastAsia" w:ascii="黑体" w:hAnsi="黑体" w:eastAsia="黑体" w:cs="黑体"/>
                <w:bCs/>
                <w:spacing w:val="20"/>
                <w:sz w:val="24"/>
                <w:szCs w:val="24"/>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1</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可持续发展导论</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《可持续发展导论》旨在帮助学生深入理解可持续发展理念与实践，本课程将带领学生探讨全球范围内的环境、经济和社会问题，以及这些问题如何相互关联并影响可持续发展的实现。</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学习过程中，学生将深入了解可持续发展的历史背景、核心原则、关键挑战和未来前景。课程将重点关注气候变化、自然资源管理、能源转型、生态保护等热点议题，并讨论政府、企业和社会团体在推动可持续发展方面的作用。</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通过案例分析、小组讨论等互动式学习方式，学生将培养批判性思维、创新能力和团队协作精神。课程还将强调可持续发展的个人责任，鼓励学生反思自身的生活方式，并探索如何在日常生活中为可持续发展做出贡献。通过本课程的学习，学生将对可持续发展有更深刻的理解，并初步具备推动社会变革的意识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2</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pacing w:val="20"/>
                <w:sz w:val="18"/>
                <w:szCs w:val="18"/>
              </w:rPr>
              <w:t>气候经济学</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《气候经济学》是一门涉及气候变化与经济学的交叉学科课程。本课程将帮助学生了解气候变化，尤其是极端天气和全球变暖的经济影响以及应对气候变化的政策措施。</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课程将涵盖气候变化的历史背景、科学原理、影响因素以及全球范围内的应对措施。学生将学习到如何评估气候变化对经济、社会和环境的影响，以及如何运用经济学原理分析气候变化的解决方案。</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探讨碳市场、绿色金融、气候适应、绿色溢价等议题，并介绍国际社会在应对气候变化方面的合作与竞争。此外，学生还将了解低碳技术和创新在应对气候变化中的作用，以及如何推动可持续发展与气候行动的协调。通过学习本课程，学生将增强对气候变化问题的理解，培养分析和解决问题的能力，并为未来的职业和公民生活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3</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pacing w:val="20"/>
                <w:sz w:val="18"/>
                <w:szCs w:val="18"/>
              </w:rPr>
              <w:t>E</w:t>
            </w:r>
            <w:r>
              <w:rPr>
                <w:rFonts w:ascii="华文仿宋" w:hAnsi="华文仿宋" w:eastAsia="华文仿宋"/>
                <w:bCs/>
                <w:spacing w:val="20"/>
                <w:sz w:val="18"/>
                <w:szCs w:val="18"/>
              </w:rPr>
              <w:t>SG</w:t>
            </w:r>
            <w:r>
              <w:rPr>
                <w:rFonts w:hint="eastAsia" w:ascii="华文仿宋" w:hAnsi="华文仿宋" w:eastAsia="华文仿宋"/>
                <w:bCs/>
                <w:spacing w:val="20"/>
                <w:sz w:val="18"/>
                <w:szCs w:val="18"/>
              </w:rPr>
              <w:t>信息披露</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《ESG 信息披露》是一门聚焦于环境、社会和治理（ESG）因素对企业影响以及企业如何有效披露 ESG 信息的课程。本课程将帮助学生了解 ESG 因素如何影响企业的战略、财务表现和社会责任，同时掌握如何编制和解读 ESG 报告。</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 ESG 概念、重要性及其对企业发展的影响。学生将学习到如何评估 ESG 风险和机会，并将这些因素纳入投资决策和公司战略中。此外，课程还将探讨企业如何制定有效的 ESG 战略，以实现可持续发展并提升企业价值。</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通过案例研究、角色扮演和小组讨论等形式，学生将培养批判性思维、创新能力和团队协作精神。本课程还将介绍国际上关于 ESG 信息披露的最新法规和最佳实践，帮助学生了解如何遵守相关法规并提升 ESG 报告的质量。通过学习本课程，学生将增强对 ESG 信息的理解，培养编制和解读 ESG 报告的能力，并为未来的职业发展做好准备。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4</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pacing w:val="20"/>
                <w:sz w:val="18"/>
                <w:szCs w:val="18"/>
              </w:rPr>
              <w:t>绿色金融</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《绿色金融》是一门旨在培养学生理解和应用绿色金融概念、工具和解决方案的课程。本课程将介绍绿色金融的定义、目标和主要实践，并探讨其对企业、金融机构和整个经济的影响。</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绿色金融的主要领域，包括绿色投资、绿色贷款、绿色债券和绿色保险等。学生将了解这些金融工具如何促进环境保护、应对气候变化并推动可持续发展。此外，课程还将介绍国际上关于绿色金融的最新标准和最佳实践，以及中国和其他国家的绿色金融政策和实践。</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本课程强调企业社会责任和可持续发展的重要性，鼓励学生思考如何在未来的职业生涯中应用绿色金融理念和实践。通过学习本课程，学生将增强对绿色金融的理解和应用能力，并为未来的职业和公民生涯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5</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pacing w:val="20"/>
                <w:sz w:val="18"/>
                <w:szCs w:val="18"/>
              </w:rPr>
              <w:t>Python在可持续化发展中的应用</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《Python在可持续化发展中的应用》是一门探讨如何利用Python编程语言促进可持续发展实践的课程。本课程将主要介绍Python在能源管理、智慧城市、社会经济数据、商业金融分析等方面的应用。</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课程将涵盖Python的基础语法和数据结构，以及如何使用Python进行数据分析和可视化。学生将学习如何利用Python获取和处理可持续发展数据，例如极端天气的应对、生物多样化、城市组织能源消耗等。</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本课程通过项目实践和案例分析，学生将了解如何使用Python解决实际可持续发展问题。课程还将强调数据隐私和安全性在可持续发展中的重要性，并鼓励学生思考如何在使用Python促进可持续发展的同时保护个人和组织的数据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6</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pacing w:val="20"/>
                <w:sz w:val="18"/>
                <w:szCs w:val="18"/>
              </w:rPr>
              <w:t>量化责任投资</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《量化责任投资》是一门将量化分析和责任投资相结合的跨学科课程。本课程将帮助学生了解量化责任投资的基本概念、方法和实践，并培养运用量化工具进行责任投资的能力。</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量化责任投资的历史背景、理论基础和实践意义。学生将学习到如何运用量化分析工具评估公司的环境、社会和治理（ESG）表现，并将这些因素纳入投资决策中。此外，课程还将探讨如何运用数据科学、机器学习等技术来优化投资组合，实现可持续的财务回报。</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通过案例分析、角色扮演和小组讨论等形式，学生将培养批判性思维、创新能力和团队协作精神。本课程还将介绍国际上关于量化责任投资的最新法规和最佳实践，帮助学生了解如何遵守相关法规并提升量化责任投资组合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7</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pacing w:val="20"/>
                <w:sz w:val="18"/>
                <w:szCs w:val="18"/>
              </w:rPr>
              <w:t>碳核算与碳管理</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《碳核算与碳管理》是一门聚焦于碳核算与碳管理的理论与实践的课程。本课程将帮助学生了解碳核算的基本原理和方法，并掌握如何进行碳排放量化和碳管理。</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碳核算的历史背景、科学原理及影响因素。学生将学习到如何运用碳核算方法评估组织或产品的碳排放量，并了解如何制定有效的碳管理策略。此外，课程还将探讨国际碳排放交易机制和低碳经济的发展趋势，以及企业如何降低碳排放并推动可持续发展。</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通过案例分析、角色扮演和小组讨论等形式，学生将培养批判性思维、创新能力和团队协作精神。本课程还将强调碳排放数据的质量要求和安全性在碳管理中的重要性，并鼓励学生思考如何在实际工作中应用碳核算与碳管理的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z w:val="18"/>
                <w:szCs w:val="18"/>
              </w:rPr>
              <w:t>8</w:t>
            </w:r>
          </w:p>
        </w:tc>
        <w:tc>
          <w:tcPr>
            <w:tcW w:w="1843" w:type="dxa"/>
            <w:vAlign w:val="center"/>
          </w:tcPr>
          <w:p>
            <w:pPr>
              <w:widowControl/>
              <w:jc w:val="center"/>
              <w:rPr>
                <w:rFonts w:ascii="华文仿宋" w:hAnsi="华文仿宋" w:eastAsia="华文仿宋"/>
                <w:bCs/>
                <w:sz w:val="18"/>
                <w:szCs w:val="18"/>
              </w:rPr>
            </w:pPr>
            <w:r>
              <w:rPr>
                <w:rFonts w:hint="eastAsia" w:ascii="华文仿宋" w:hAnsi="华文仿宋" w:eastAsia="华文仿宋"/>
                <w:bCs/>
                <w:spacing w:val="20"/>
                <w:sz w:val="18"/>
                <w:szCs w:val="18"/>
              </w:rPr>
              <w:t>碳交易</w:t>
            </w:r>
          </w:p>
        </w:tc>
        <w:tc>
          <w:tcPr>
            <w:tcW w:w="6416" w:type="dxa"/>
            <w:tcBorders>
              <w:top w:val="single" w:color="auto" w:sz="4" w:space="0"/>
              <w:bottom w:val="single" w:color="auto" w:sz="4" w:space="0"/>
            </w:tcBorders>
          </w:tcPr>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《碳交易》是一门介绍碳交易机制、市场和策略的课程。本课程将帮助学生了解碳交易的基本原理和实践，为参与碳市场和制定碳管理策略做好准备。</w:t>
            </w:r>
          </w:p>
          <w:p>
            <w:pPr>
              <w:widowControl/>
              <w:jc w:val="left"/>
              <w:rPr>
                <w:rFonts w:ascii="华文仿宋" w:hAnsi="华文仿宋" w:eastAsia="华文仿宋"/>
                <w:bCs/>
                <w:sz w:val="18"/>
                <w:szCs w:val="18"/>
              </w:rPr>
            </w:pPr>
          </w:p>
          <w:p>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全球气候变化背景下的碳交易发展历程，以及各国碳交易体系的构建和运行机制。学生将学习到如何进行碳排放权的确权、分配、交易和监管，以及如何制定有效的碳资产管理和风险控制策略。此外，课程还将探讨国内外碳市场的发展趋势和未来挑战，以及企业如何利用碳交易实现低碳转型和可持续发展。</w:t>
            </w:r>
          </w:p>
          <w:p>
            <w:pPr>
              <w:widowControl/>
              <w:jc w:val="left"/>
              <w:rPr>
                <w:rFonts w:ascii="华文仿宋" w:hAnsi="华文仿宋" w:eastAsia="华文仿宋"/>
                <w:bCs/>
                <w:sz w:val="18"/>
                <w:szCs w:val="18"/>
              </w:rPr>
            </w:pPr>
          </w:p>
          <w:p>
            <w:pPr>
              <w:widowControl/>
              <w:spacing w:after="156" w:afterLines="50"/>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本课程通过案例分析、角色扮演和小组讨论等形式，学生将培养批判性思维、创新能力和团队协作精神。本课程还将强调碳市场的数据透明度和安全性在碳交易中的重要性，并鼓励学生思考如何在实际工作中应用所学知识和技能。</w:t>
            </w:r>
          </w:p>
        </w:tc>
      </w:tr>
    </w:tbl>
    <w:p/>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yODhkODhlYzU3MWY1YWRiMWQzM2U3MWEwY2I5NWMifQ=="/>
  </w:docVars>
  <w:rsids>
    <w:rsidRoot w:val="0AE32D0C"/>
    <w:rsid w:val="00013C7E"/>
    <w:rsid w:val="00025131"/>
    <w:rsid w:val="000703B8"/>
    <w:rsid w:val="000C5FCD"/>
    <w:rsid w:val="00156DF1"/>
    <w:rsid w:val="001A5ED2"/>
    <w:rsid w:val="001C696D"/>
    <w:rsid w:val="00211DF8"/>
    <w:rsid w:val="00213314"/>
    <w:rsid w:val="002348A4"/>
    <w:rsid w:val="002D1061"/>
    <w:rsid w:val="002E5099"/>
    <w:rsid w:val="00372B72"/>
    <w:rsid w:val="00384140"/>
    <w:rsid w:val="0038726D"/>
    <w:rsid w:val="003A7822"/>
    <w:rsid w:val="003E1BE2"/>
    <w:rsid w:val="003F57A7"/>
    <w:rsid w:val="00492EEE"/>
    <w:rsid w:val="004B5A3E"/>
    <w:rsid w:val="004D1912"/>
    <w:rsid w:val="005723BC"/>
    <w:rsid w:val="005730A2"/>
    <w:rsid w:val="00573466"/>
    <w:rsid w:val="005A5CCA"/>
    <w:rsid w:val="005C78E3"/>
    <w:rsid w:val="005E2AA8"/>
    <w:rsid w:val="005E7AC9"/>
    <w:rsid w:val="006A1FA3"/>
    <w:rsid w:val="006B3BB3"/>
    <w:rsid w:val="006F4D49"/>
    <w:rsid w:val="006F7C7F"/>
    <w:rsid w:val="00742B8E"/>
    <w:rsid w:val="00780A85"/>
    <w:rsid w:val="00782449"/>
    <w:rsid w:val="007A3528"/>
    <w:rsid w:val="0081246F"/>
    <w:rsid w:val="00847ADF"/>
    <w:rsid w:val="00930A3D"/>
    <w:rsid w:val="009710D1"/>
    <w:rsid w:val="009F6F34"/>
    <w:rsid w:val="00A727B6"/>
    <w:rsid w:val="00B21442"/>
    <w:rsid w:val="00B72599"/>
    <w:rsid w:val="00BB3CE1"/>
    <w:rsid w:val="00BF641B"/>
    <w:rsid w:val="00C11D2B"/>
    <w:rsid w:val="00CA4448"/>
    <w:rsid w:val="00CB4D06"/>
    <w:rsid w:val="00CC535F"/>
    <w:rsid w:val="00D367B4"/>
    <w:rsid w:val="00D47C56"/>
    <w:rsid w:val="00D50200"/>
    <w:rsid w:val="00D529C8"/>
    <w:rsid w:val="00D572EE"/>
    <w:rsid w:val="00D76DBD"/>
    <w:rsid w:val="00DC4E52"/>
    <w:rsid w:val="00DC7F84"/>
    <w:rsid w:val="00E00ACB"/>
    <w:rsid w:val="00EB7C42"/>
    <w:rsid w:val="00EE3B79"/>
    <w:rsid w:val="00EF2EF1"/>
    <w:rsid w:val="00F11E98"/>
    <w:rsid w:val="00F16F11"/>
    <w:rsid w:val="00F344FB"/>
    <w:rsid w:val="02641DFB"/>
    <w:rsid w:val="02D17139"/>
    <w:rsid w:val="0AE32D0C"/>
    <w:rsid w:val="1165300E"/>
    <w:rsid w:val="175A6EDF"/>
    <w:rsid w:val="1EEF22CE"/>
    <w:rsid w:val="21BF3E1B"/>
    <w:rsid w:val="3D7106DB"/>
    <w:rsid w:val="46E13E64"/>
    <w:rsid w:val="496038EF"/>
    <w:rsid w:val="5C2667BC"/>
    <w:rsid w:val="60E0197E"/>
    <w:rsid w:val="6221580D"/>
    <w:rsid w:val="64844FF7"/>
    <w:rsid w:val="649F2FD7"/>
    <w:rsid w:val="687B4BF8"/>
    <w:rsid w:val="73205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sz w:val="18"/>
      <w:szCs w:val="18"/>
    </w:rPr>
  </w:style>
  <w:style w:type="character" w:customStyle="1" w:styleId="7">
    <w:name w:val="页脚 字符"/>
    <w:basedOn w:val="5"/>
    <w:link w:val="2"/>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614</Words>
  <Characters>3500</Characters>
  <Lines>29</Lines>
  <Paragraphs>8</Paragraphs>
  <TotalTime>0</TotalTime>
  <ScaleCrop>false</ScaleCrop>
  <LinksUpToDate>false</LinksUpToDate>
  <CharactersWithSpaces>4106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2024-04-12T01:35:00Z</dcterms:created>
  <dc:creator>Shine_ZHOU</dc:creator>
  <cp:lastModifiedBy>彼岸花开</cp:lastModifiedBy>
  <dcterms:modified xsi:type="dcterms:W3CDTF">2024-06-06T05:51:32Z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89BE444AC31A41DE92AD2CE08303C9EE</vt:lpwstr>
  </property>
</Properties>
</file>