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lang w:val="en-US" w:eastAsia="zh-CN"/>
        </w:rPr>
        <w:t>财政税务</w:t>
      </w:r>
      <w:r>
        <w:rPr>
          <w:rFonts w:hint="eastAsia" w:ascii="方正小标宋简体" w:hAnsi="方正小标宋简体" w:eastAsia="方正小标宋简体" w:cs="方正小标宋简体"/>
          <w:bCs/>
          <w:sz w:val="36"/>
          <w:szCs w:val="36"/>
        </w:rPr>
        <w:t>学院</w:t>
      </w:r>
      <w:r>
        <w:rPr>
          <w:rFonts w:hint="eastAsia" w:ascii="方正小标宋简体" w:hAnsi="方正小标宋简体" w:eastAsia="方正小标宋简体" w:cs="方正小标宋简体"/>
          <w:bCs/>
          <w:sz w:val="36"/>
          <w:szCs w:val="36"/>
          <w:lang w:val="en-US" w:eastAsia="zh-CN"/>
        </w:rPr>
        <w:t>智慧税务</w:t>
      </w:r>
      <w:r>
        <w:rPr>
          <w:rFonts w:hint="eastAsia" w:ascii="方正小标宋简体" w:hAnsi="方正小标宋简体" w:eastAsia="方正小标宋简体" w:cs="方正小标宋简体"/>
          <w:bCs/>
          <w:sz w:val="36"/>
          <w:szCs w:val="36"/>
        </w:rPr>
        <w:t>微专业人才培养方案</w:t>
      </w:r>
    </w:p>
    <w:p>
      <w:pPr>
        <w:widowControl/>
        <w:spacing w:after="156" w:line="0" w:lineRule="atLeast"/>
        <w:ind w:firstLine="560" w:firstLineChars="200"/>
        <w:jc w:val="left"/>
        <w:rPr>
          <w:rFonts w:ascii="黑体" w:hAnsi="黑体" w:eastAsia="黑体" w:cs="黑体"/>
          <w:bCs/>
          <w:sz w:val="28"/>
          <w:szCs w:val="28"/>
        </w:rPr>
      </w:pPr>
    </w:p>
    <w:p>
      <w:pPr>
        <w:keepNext w:val="0"/>
        <w:keepLines w:val="0"/>
        <w:pageBreakBefore w:val="0"/>
        <w:widowControl/>
        <w:kinsoku/>
        <w:wordWrap/>
        <w:overflowPunct/>
        <w:topLinePunct w:val="0"/>
        <w:autoSpaceDE/>
        <w:autoSpaceDN/>
        <w:bidi w:val="0"/>
        <w:adjustRightInd/>
        <w:snapToGrid/>
        <w:spacing w:after="156" w:line="440" w:lineRule="exact"/>
        <w:ind w:firstLine="560" w:firstLineChars="200"/>
        <w:jc w:val="left"/>
        <w:textAlignment w:val="auto"/>
        <w:rPr>
          <w:rFonts w:ascii="黑体" w:hAnsi="黑体" w:eastAsia="黑体" w:cs="黑体"/>
          <w:bCs/>
          <w:sz w:val="28"/>
          <w:szCs w:val="28"/>
        </w:rPr>
      </w:pPr>
      <w:r>
        <w:rPr>
          <w:rFonts w:hint="eastAsia" w:ascii="黑体" w:hAnsi="黑体" w:eastAsia="黑体" w:cs="黑体"/>
          <w:bCs/>
          <w:sz w:val="28"/>
          <w:szCs w:val="28"/>
        </w:rPr>
        <w:t>一、专业培养目标</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智慧税务微专业应对新时代经济社会发展的新需求，特别是数字化、信息化背景下税务行业对数智化人才的迫切需要，整合学校税务、信息技术、数据分析等领域的优质资源，以及一流的教学科研团队。本微专业致力于培养具备深厚的税务理论基础、数智化技术技能和税务实务操作能力，能够在数字经济背景下从事税务稽查、风险管理、智慧税务建设、税收筹划等工作的复合型高端人才。通过系统学习涵盖税务数智化转型、税收征管模式创新等一系列核心课程，学生将深入掌握数字经济与税收治理、税收大数据分析等前沿知识和应用技能。本微专业注重理论与实践的紧密结合，旨在为首都乃至全国培养能够适应新时代税务工作要求的高素质税务专业人才。</w:t>
      </w:r>
    </w:p>
    <w:p>
      <w:pPr>
        <w:keepNext w:val="0"/>
        <w:keepLines w:val="0"/>
        <w:pageBreakBefore w:val="0"/>
        <w:kinsoku/>
        <w:wordWrap/>
        <w:overflowPunct/>
        <w:topLinePunct w:val="0"/>
        <w:autoSpaceDE/>
        <w:autoSpaceDN/>
        <w:bidi w:val="0"/>
        <w:adjustRightInd/>
        <w:snapToGrid/>
        <w:spacing w:before="156" w:beforeLines="50" w:after="156" w:afterLines="50" w:line="44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rPr>
        <w:t>二、毕业要求</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微专业采取单独编班形式组织教学，学生完成微专业培养方案规定课程的修读，成绩合格，学分达到12即满足毕业要求。</w:t>
      </w:r>
    </w:p>
    <w:p>
      <w:pPr>
        <w:keepNext w:val="0"/>
        <w:keepLines w:val="0"/>
        <w:pageBreakBefore w:val="0"/>
        <w:kinsoku/>
        <w:wordWrap/>
        <w:overflowPunct/>
        <w:topLinePunct w:val="0"/>
        <w:autoSpaceDE/>
        <w:autoSpaceDN/>
        <w:bidi w:val="0"/>
        <w:adjustRightInd/>
        <w:snapToGrid/>
        <w:spacing w:before="156" w:beforeLines="50" w:after="156" w:afterLines="50" w:line="440" w:lineRule="exact"/>
        <w:ind w:firstLine="560" w:firstLineChars="200"/>
        <w:textAlignment w:val="auto"/>
        <w:rPr>
          <w:rFonts w:ascii="宋体" w:hAnsi="宋体"/>
          <w:b/>
          <w:sz w:val="28"/>
          <w:szCs w:val="28"/>
        </w:rPr>
      </w:pPr>
      <w:r>
        <w:rPr>
          <w:rFonts w:hint="eastAsia" w:ascii="黑体" w:hAnsi="黑体" w:eastAsia="黑体" w:cs="黑体"/>
          <w:bCs/>
          <w:sz w:val="28"/>
          <w:szCs w:val="28"/>
        </w:rPr>
        <w:t>三、招生对象与条件</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lang w:eastAsia="zh-CN"/>
        </w:rPr>
        <w:t>）</w:t>
      </w:r>
      <w:r>
        <w:rPr>
          <w:rFonts w:hint="eastAsia" w:ascii="仿宋_GB2312" w:eastAsia="仿宋_GB2312"/>
          <w:sz w:val="28"/>
          <w:szCs w:val="28"/>
          <w:lang w:val="en-US" w:eastAsia="zh-CN"/>
        </w:rPr>
        <w:t>招生对象</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对智慧税务有浓厚兴趣，并具备一定的基础知识和能力的各个专业的大二和大三年级的本科生，对所有符合报名条件者择优录取。</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（二）招生条件</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学生在主专业学有余力，并有进一步扩充自身学科知识的意愿，均可报名修读。</w:t>
      </w:r>
    </w:p>
    <w:p>
      <w:pPr>
        <w:keepNext w:val="0"/>
        <w:keepLines w:val="0"/>
        <w:pageBreakBefore w:val="0"/>
        <w:kinsoku/>
        <w:wordWrap/>
        <w:overflowPunct/>
        <w:topLinePunct w:val="0"/>
        <w:autoSpaceDE/>
        <w:autoSpaceDN/>
        <w:bidi w:val="0"/>
        <w:adjustRightInd/>
        <w:snapToGrid/>
        <w:spacing w:before="156" w:beforeLines="50" w:after="156" w:afterLines="50" w:line="440" w:lineRule="exact"/>
        <w:ind w:firstLine="560" w:firstLineChars="200"/>
        <w:textAlignment w:val="auto"/>
        <w:rPr>
          <w:rFonts w:ascii="黑体" w:hAnsi="黑体" w:eastAsia="黑体" w:cs="黑体"/>
          <w:bCs/>
          <w:sz w:val="28"/>
          <w:szCs w:val="28"/>
        </w:rPr>
      </w:pPr>
      <w:r>
        <w:rPr>
          <w:rFonts w:hint="eastAsia" w:ascii="黑体" w:hAnsi="黑体" w:eastAsia="黑体" w:cs="黑体"/>
          <w:bCs/>
          <w:sz w:val="28"/>
          <w:szCs w:val="28"/>
        </w:rPr>
        <w:t>四、学分与证书</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lang w:eastAsia="zh-CN"/>
        </w:rPr>
        <w:t>）</w:t>
      </w:r>
      <w:r>
        <w:rPr>
          <w:rFonts w:hint="eastAsia" w:ascii="仿宋_GB2312" w:eastAsia="仿宋_GB2312"/>
          <w:sz w:val="28"/>
          <w:szCs w:val="28"/>
          <w:lang w:val="en-US" w:eastAsia="zh-CN"/>
        </w:rPr>
        <w:t>考核形式为开卷或课程论文等，具体安排根据实际教学另行公布。</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黑体" w:hAnsi="黑体" w:eastAsia="黑体" w:cs="黑体"/>
          <w:bCs/>
          <w:sz w:val="28"/>
          <w:szCs w:val="28"/>
        </w:rPr>
        <w:sectPr>
          <w:pgSz w:w="11906" w:h="16838"/>
          <w:pgMar w:top="1134" w:right="1418" w:bottom="1134" w:left="1418" w:header="851" w:footer="454" w:gutter="0"/>
          <w:cols w:space="720" w:num="1"/>
          <w:docGrid w:type="lines" w:linePitch="312" w:charSpace="0"/>
        </w:sectPr>
      </w:pPr>
      <w:r>
        <w:rPr>
          <w:rFonts w:hint="eastAsia" w:ascii="仿宋_GB2312" w:eastAsia="仿宋_GB2312"/>
          <w:sz w:val="28"/>
          <w:szCs w:val="28"/>
          <w:lang w:eastAsia="zh-CN"/>
        </w:rPr>
        <w:t>（</w:t>
      </w:r>
      <w:r>
        <w:rPr>
          <w:rFonts w:hint="eastAsia" w:ascii="仿宋_GB2312" w:eastAsia="仿宋_GB2312"/>
          <w:sz w:val="28"/>
          <w:szCs w:val="28"/>
          <w:lang w:val="en-US" w:eastAsia="zh-CN"/>
        </w:rPr>
        <w:t>二</w:t>
      </w:r>
      <w:r>
        <w:rPr>
          <w:rFonts w:hint="eastAsia" w:ascii="仿宋_GB2312" w:eastAsia="仿宋_GB2312"/>
          <w:sz w:val="28"/>
          <w:szCs w:val="28"/>
          <w:lang w:eastAsia="zh-CN"/>
        </w:rPr>
        <w:t>）</w:t>
      </w:r>
      <w:r>
        <w:rPr>
          <w:rFonts w:hint="eastAsia" w:ascii="仿宋_GB2312" w:eastAsia="仿宋_GB2312"/>
          <w:sz w:val="28"/>
          <w:szCs w:val="28"/>
          <w:lang w:val="en-US" w:eastAsia="zh-CN"/>
        </w:rPr>
        <w:t>微专业学制一般为2个学期。</w:t>
      </w:r>
      <w:r>
        <w:rPr>
          <w:rFonts w:hint="eastAsia" w:ascii="仿宋_GB2312" w:eastAsia="仿宋_GB2312"/>
          <w:sz w:val="28"/>
          <w:szCs w:val="28"/>
          <w:lang w:eastAsia="zh-CN"/>
        </w:rPr>
        <w:t>学生需要完成</w:t>
      </w:r>
      <w:r>
        <w:rPr>
          <w:rFonts w:hint="eastAsia" w:ascii="仿宋_GB2312" w:eastAsia="仿宋_GB2312"/>
          <w:sz w:val="28"/>
          <w:szCs w:val="28"/>
          <w:lang w:val="en-US" w:eastAsia="zh-CN"/>
        </w:rPr>
        <w:t>6门</w:t>
      </w:r>
      <w:r>
        <w:rPr>
          <w:rFonts w:hint="eastAsia" w:ascii="仿宋_GB2312" w:eastAsia="仿宋_GB2312"/>
          <w:sz w:val="28"/>
          <w:szCs w:val="28"/>
          <w:lang w:eastAsia="zh-CN"/>
        </w:rPr>
        <w:t>的课程学习，</w:t>
      </w:r>
      <w:r>
        <w:rPr>
          <w:rFonts w:hint="eastAsia" w:ascii="仿宋_GB2312" w:eastAsia="仿宋_GB2312"/>
          <w:sz w:val="28"/>
          <w:szCs w:val="28"/>
          <w:lang w:val="en-US" w:eastAsia="zh-CN"/>
        </w:rPr>
        <w:t>成绩合格达到毕业要求，经学院审核后报教务处复核，发放学校统一印制的微专业证书。</w:t>
      </w:r>
    </w:p>
    <w:p>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lang w:val="en-US" w:eastAsia="zh-CN"/>
        </w:rPr>
        <w:t>智慧税务</w:t>
      </w:r>
      <w:r>
        <w:rPr>
          <w:rFonts w:hint="eastAsia" w:ascii="黑体" w:hAnsi="黑体" w:eastAsia="黑体" w:cs="黑体"/>
          <w:bCs/>
          <w:sz w:val="28"/>
          <w:szCs w:val="28"/>
        </w:rPr>
        <w:t>微专业课程设置及教学进程计划表</w:t>
      </w:r>
    </w:p>
    <w:tbl>
      <w:tblPr>
        <w:tblStyle w:val="2"/>
        <w:tblW w:w="14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4"/>
        <w:gridCol w:w="1446"/>
        <w:gridCol w:w="683"/>
        <w:gridCol w:w="972"/>
        <w:gridCol w:w="877"/>
        <w:gridCol w:w="805"/>
        <w:gridCol w:w="1250"/>
        <w:gridCol w:w="1202"/>
        <w:gridCol w:w="956"/>
        <w:gridCol w:w="1900"/>
        <w:gridCol w:w="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3344" w:type="dxa"/>
            <w:vMerge w:val="restart"/>
            <w:tcBorders>
              <w:bottom w:val="single" w:color="auto" w:sz="4" w:space="0"/>
            </w:tcBorders>
            <w:vAlign w:val="center"/>
          </w:tcPr>
          <w:p>
            <w:pPr>
              <w:widowControl/>
              <w:jc w:val="center"/>
              <w:rPr>
                <w:rFonts w:ascii="黑体" w:hAnsi="黑体" w:eastAsia="黑体"/>
                <w:bCs/>
                <w:spacing w:val="20"/>
                <w:sz w:val="24"/>
                <w:szCs w:val="24"/>
              </w:rPr>
            </w:pPr>
            <w:r>
              <w:rPr>
                <w:rFonts w:hint="eastAsia" w:ascii="黑体" w:hAnsi="黑体" w:eastAsia="黑体"/>
                <w:bCs/>
                <w:sz w:val="24"/>
                <w:szCs w:val="24"/>
              </w:rPr>
              <w:t>课程名称</w:t>
            </w:r>
          </w:p>
        </w:tc>
        <w:tc>
          <w:tcPr>
            <w:tcW w:w="1446" w:type="dxa"/>
            <w:vMerge w:val="restart"/>
            <w:vAlign w:val="center"/>
          </w:tcPr>
          <w:p>
            <w:pPr>
              <w:widowControl/>
              <w:jc w:val="center"/>
              <w:rPr>
                <w:rFonts w:ascii="黑体" w:hAnsi="黑体" w:eastAsia="黑体"/>
                <w:bCs/>
                <w:sz w:val="24"/>
                <w:szCs w:val="24"/>
              </w:rPr>
            </w:pPr>
            <w:r>
              <w:rPr>
                <w:rFonts w:hint="eastAsia" w:ascii="黑体" w:hAnsi="黑体" w:eastAsia="黑体"/>
                <w:bCs/>
                <w:sz w:val="24"/>
                <w:szCs w:val="24"/>
              </w:rPr>
              <w:t>课程代码</w:t>
            </w:r>
          </w:p>
        </w:tc>
        <w:tc>
          <w:tcPr>
            <w:tcW w:w="683" w:type="dxa"/>
            <w:vMerge w:val="restart"/>
            <w:tcBorders>
              <w:bottom w:val="single" w:color="auto" w:sz="4" w:space="0"/>
            </w:tcBorders>
            <w:vAlign w:val="center"/>
          </w:tcPr>
          <w:p>
            <w:pPr>
              <w:widowControl/>
              <w:jc w:val="center"/>
              <w:rPr>
                <w:rFonts w:ascii="黑体" w:hAnsi="黑体" w:eastAsia="黑体"/>
                <w:bCs/>
                <w:spacing w:val="20"/>
                <w:sz w:val="24"/>
                <w:szCs w:val="24"/>
              </w:rPr>
            </w:pPr>
            <w:r>
              <w:rPr>
                <w:rFonts w:hint="eastAsia" w:ascii="黑体" w:hAnsi="黑体" w:eastAsia="黑体"/>
                <w:bCs/>
                <w:sz w:val="24"/>
                <w:szCs w:val="24"/>
              </w:rPr>
              <w:t>学分</w:t>
            </w:r>
          </w:p>
        </w:tc>
        <w:tc>
          <w:tcPr>
            <w:tcW w:w="972" w:type="dxa"/>
            <w:vMerge w:val="restart"/>
            <w:vAlign w:val="center"/>
          </w:tcPr>
          <w:p>
            <w:pPr>
              <w:widowControl/>
              <w:jc w:val="center"/>
              <w:rPr>
                <w:rFonts w:ascii="黑体" w:hAnsi="黑体" w:eastAsia="黑体"/>
                <w:bCs/>
                <w:sz w:val="24"/>
                <w:szCs w:val="24"/>
              </w:rPr>
            </w:pPr>
            <w:r>
              <w:rPr>
                <w:rFonts w:ascii="黑体" w:hAnsi="黑体" w:eastAsia="黑体"/>
                <w:bCs/>
                <w:sz w:val="24"/>
                <w:szCs w:val="24"/>
              </w:rPr>
              <w:t>总学时</w:t>
            </w:r>
          </w:p>
        </w:tc>
        <w:tc>
          <w:tcPr>
            <w:tcW w:w="4134" w:type="dxa"/>
            <w:gridSpan w:val="4"/>
            <w:tcBorders>
              <w:bottom w:val="single" w:color="auto" w:sz="4" w:space="0"/>
            </w:tcBorders>
            <w:vAlign w:val="center"/>
          </w:tcPr>
          <w:p>
            <w:pPr>
              <w:widowControl/>
              <w:jc w:val="center"/>
              <w:rPr>
                <w:rFonts w:ascii="黑体" w:hAnsi="黑体" w:eastAsia="黑体"/>
                <w:bCs/>
                <w:spacing w:val="20"/>
                <w:sz w:val="24"/>
                <w:szCs w:val="24"/>
              </w:rPr>
            </w:pPr>
            <w:r>
              <w:rPr>
                <w:rFonts w:ascii="黑体" w:hAnsi="黑体" w:eastAsia="黑体"/>
                <w:bCs/>
                <w:spacing w:val="30"/>
                <w:kern w:val="0"/>
                <w:sz w:val="24"/>
                <w:szCs w:val="24"/>
                <w:fitText w:val="840" w:id="1895134089"/>
              </w:rPr>
              <w:t>学时</w:t>
            </w:r>
            <w:r>
              <w:rPr>
                <w:rFonts w:hint="eastAsia" w:ascii="黑体" w:hAnsi="黑体" w:eastAsia="黑体"/>
                <w:bCs/>
                <w:spacing w:val="0"/>
                <w:kern w:val="0"/>
                <w:sz w:val="24"/>
                <w:szCs w:val="24"/>
                <w:fitText w:val="840" w:id="1895134089"/>
              </w:rPr>
              <w:t>分</w:t>
            </w:r>
            <w:r>
              <w:rPr>
                <w:rFonts w:hint="eastAsia" w:ascii="黑体" w:hAnsi="黑体" w:eastAsia="黑体"/>
                <w:bCs/>
                <w:sz w:val="24"/>
                <w:szCs w:val="24"/>
              </w:rPr>
              <w:t xml:space="preserve"> 配</w:t>
            </w:r>
          </w:p>
        </w:tc>
        <w:tc>
          <w:tcPr>
            <w:tcW w:w="956" w:type="dxa"/>
            <w:vMerge w:val="restart"/>
            <w:tcBorders>
              <w:bottom w:val="single" w:color="auto" w:sz="4" w:space="0"/>
            </w:tcBorders>
            <w:vAlign w:val="center"/>
          </w:tcPr>
          <w:p>
            <w:pPr>
              <w:widowControl/>
              <w:snapToGrid w:val="0"/>
              <w:jc w:val="center"/>
              <w:rPr>
                <w:rFonts w:ascii="黑体" w:hAnsi="黑体" w:eastAsia="黑体"/>
                <w:bCs/>
                <w:sz w:val="24"/>
                <w:szCs w:val="24"/>
              </w:rPr>
            </w:pPr>
            <w:r>
              <w:rPr>
                <w:rFonts w:hint="eastAsia" w:ascii="黑体" w:hAnsi="黑体" w:eastAsia="黑体"/>
                <w:bCs/>
                <w:sz w:val="24"/>
                <w:szCs w:val="24"/>
              </w:rPr>
              <w:t>考核</w:t>
            </w:r>
          </w:p>
          <w:p>
            <w:pPr>
              <w:widowControl/>
              <w:jc w:val="center"/>
              <w:rPr>
                <w:rFonts w:ascii="黑体" w:hAnsi="黑体" w:eastAsia="黑体"/>
                <w:bCs/>
                <w:spacing w:val="20"/>
                <w:sz w:val="24"/>
                <w:szCs w:val="24"/>
              </w:rPr>
            </w:pPr>
            <w:r>
              <w:rPr>
                <w:rFonts w:hint="eastAsia" w:ascii="黑体" w:hAnsi="黑体" w:eastAsia="黑体"/>
                <w:bCs/>
                <w:sz w:val="24"/>
                <w:szCs w:val="24"/>
              </w:rPr>
              <w:t>方式</w:t>
            </w:r>
          </w:p>
        </w:tc>
        <w:tc>
          <w:tcPr>
            <w:tcW w:w="1900" w:type="dxa"/>
            <w:vMerge w:val="restart"/>
            <w:tcBorders>
              <w:bottom w:val="single" w:color="auto" w:sz="4" w:space="0"/>
            </w:tcBorders>
            <w:vAlign w:val="center"/>
          </w:tcPr>
          <w:p>
            <w:pPr>
              <w:widowControl/>
              <w:jc w:val="center"/>
              <w:rPr>
                <w:rFonts w:ascii="黑体" w:hAnsi="黑体" w:eastAsia="黑体"/>
                <w:bCs/>
                <w:spacing w:val="20"/>
                <w:sz w:val="24"/>
                <w:szCs w:val="24"/>
              </w:rPr>
            </w:pPr>
            <w:r>
              <w:rPr>
                <w:rFonts w:hint="eastAsia" w:ascii="黑体" w:hAnsi="黑体" w:eastAsia="黑体"/>
                <w:bCs/>
                <w:spacing w:val="20"/>
                <w:sz w:val="24"/>
                <w:szCs w:val="24"/>
              </w:rPr>
              <w:t>开课单位</w:t>
            </w:r>
          </w:p>
        </w:tc>
        <w:tc>
          <w:tcPr>
            <w:tcW w:w="939" w:type="dxa"/>
            <w:vMerge w:val="restart"/>
            <w:tcBorders>
              <w:bottom w:val="single" w:color="auto" w:sz="4" w:space="0"/>
            </w:tcBorders>
            <w:vAlign w:val="center"/>
          </w:tcPr>
          <w:p>
            <w:pPr>
              <w:widowControl/>
              <w:snapToGrid w:val="0"/>
              <w:jc w:val="center"/>
              <w:rPr>
                <w:rFonts w:ascii="黑体" w:hAnsi="黑体" w:eastAsia="黑体"/>
                <w:bCs/>
                <w:sz w:val="24"/>
                <w:szCs w:val="24"/>
              </w:rPr>
            </w:pPr>
            <w:r>
              <w:rPr>
                <w:rFonts w:ascii="黑体" w:hAnsi="黑体" w:eastAsia="黑体"/>
                <w:bCs/>
                <w:sz w:val="24"/>
                <w:szCs w:val="24"/>
              </w:rPr>
              <w:t>开课</w:t>
            </w:r>
          </w:p>
          <w:p>
            <w:pPr>
              <w:widowControl/>
              <w:jc w:val="center"/>
              <w:rPr>
                <w:rFonts w:ascii="黑体" w:hAnsi="黑体" w:eastAsia="黑体"/>
                <w:bCs/>
                <w:spacing w:val="20"/>
                <w:sz w:val="24"/>
                <w:szCs w:val="24"/>
              </w:rPr>
            </w:pPr>
            <w:r>
              <w:rPr>
                <w:rFonts w:hint="eastAsia" w:ascii="黑体" w:hAnsi="黑体" w:eastAsia="黑体"/>
                <w:bCs/>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4" w:type="dxa"/>
            <w:vMerge w:val="continue"/>
            <w:vAlign w:val="center"/>
          </w:tcPr>
          <w:p>
            <w:pPr>
              <w:widowControl/>
              <w:jc w:val="center"/>
              <w:rPr>
                <w:rFonts w:ascii="仿宋" w:hAnsi="仿宋" w:eastAsia="仿宋"/>
                <w:b/>
                <w:spacing w:val="20"/>
                <w:sz w:val="24"/>
                <w:szCs w:val="24"/>
              </w:rPr>
            </w:pPr>
          </w:p>
        </w:tc>
        <w:tc>
          <w:tcPr>
            <w:tcW w:w="1446" w:type="dxa"/>
            <w:vMerge w:val="continue"/>
            <w:vAlign w:val="center"/>
          </w:tcPr>
          <w:p>
            <w:pPr>
              <w:widowControl/>
              <w:jc w:val="center"/>
              <w:rPr>
                <w:rFonts w:ascii="仿宋" w:hAnsi="仿宋" w:eastAsia="仿宋"/>
                <w:b/>
                <w:spacing w:val="20"/>
                <w:sz w:val="24"/>
                <w:szCs w:val="24"/>
              </w:rPr>
            </w:pPr>
          </w:p>
        </w:tc>
        <w:tc>
          <w:tcPr>
            <w:tcW w:w="683" w:type="dxa"/>
            <w:vMerge w:val="continue"/>
            <w:vAlign w:val="center"/>
          </w:tcPr>
          <w:p>
            <w:pPr>
              <w:widowControl/>
              <w:jc w:val="center"/>
              <w:rPr>
                <w:rFonts w:ascii="仿宋" w:hAnsi="仿宋" w:eastAsia="仿宋"/>
                <w:b/>
                <w:spacing w:val="20"/>
                <w:sz w:val="24"/>
                <w:szCs w:val="24"/>
              </w:rPr>
            </w:pPr>
          </w:p>
        </w:tc>
        <w:tc>
          <w:tcPr>
            <w:tcW w:w="972" w:type="dxa"/>
            <w:vMerge w:val="continue"/>
            <w:vAlign w:val="center"/>
          </w:tcPr>
          <w:p>
            <w:pPr>
              <w:widowControl/>
              <w:jc w:val="center"/>
              <w:rPr>
                <w:rFonts w:ascii="仿宋" w:hAnsi="仿宋" w:eastAsia="仿宋"/>
                <w:b/>
                <w:spacing w:val="20"/>
                <w:sz w:val="24"/>
                <w:szCs w:val="24"/>
              </w:rPr>
            </w:pPr>
          </w:p>
        </w:tc>
        <w:tc>
          <w:tcPr>
            <w:tcW w:w="877" w:type="dxa"/>
            <w:vAlign w:val="center"/>
          </w:tcPr>
          <w:p>
            <w:pPr>
              <w:widowControl/>
              <w:jc w:val="center"/>
              <w:rPr>
                <w:rFonts w:ascii="黑体" w:hAnsi="黑体" w:eastAsia="黑体"/>
                <w:bCs/>
                <w:spacing w:val="20"/>
                <w:sz w:val="24"/>
                <w:szCs w:val="24"/>
              </w:rPr>
            </w:pPr>
            <w:r>
              <w:rPr>
                <w:rFonts w:hint="eastAsia" w:ascii="黑体" w:hAnsi="黑体" w:eastAsia="黑体"/>
                <w:bCs/>
                <w:sz w:val="24"/>
                <w:szCs w:val="24"/>
              </w:rPr>
              <w:t>理论</w:t>
            </w:r>
          </w:p>
        </w:tc>
        <w:tc>
          <w:tcPr>
            <w:tcW w:w="805" w:type="dxa"/>
            <w:vAlign w:val="center"/>
          </w:tcPr>
          <w:p>
            <w:pPr>
              <w:widowControl/>
              <w:jc w:val="center"/>
              <w:rPr>
                <w:rFonts w:ascii="黑体" w:hAnsi="黑体" w:eastAsia="黑体"/>
                <w:bCs/>
                <w:spacing w:val="20"/>
                <w:sz w:val="24"/>
                <w:szCs w:val="24"/>
              </w:rPr>
            </w:pPr>
            <w:r>
              <w:rPr>
                <w:rFonts w:hint="eastAsia" w:ascii="黑体" w:hAnsi="黑体" w:eastAsia="黑体"/>
                <w:bCs/>
                <w:sz w:val="24"/>
                <w:szCs w:val="24"/>
              </w:rPr>
              <w:t>实践</w:t>
            </w:r>
          </w:p>
        </w:tc>
        <w:tc>
          <w:tcPr>
            <w:tcW w:w="1250" w:type="dxa"/>
            <w:vAlign w:val="center"/>
          </w:tcPr>
          <w:p>
            <w:pPr>
              <w:widowControl/>
              <w:jc w:val="center"/>
              <w:rPr>
                <w:rFonts w:ascii="黑体" w:hAnsi="黑体" w:eastAsia="黑体"/>
                <w:bCs/>
                <w:spacing w:val="20"/>
                <w:sz w:val="24"/>
                <w:szCs w:val="24"/>
              </w:rPr>
            </w:pPr>
            <w:r>
              <w:rPr>
                <w:rFonts w:hint="eastAsia" w:ascii="黑体" w:hAnsi="黑体" w:eastAsia="黑体"/>
                <w:bCs/>
                <w:sz w:val="24"/>
                <w:szCs w:val="24"/>
              </w:rPr>
              <w:t>线上学时</w:t>
            </w:r>
          </w:p>
        </w:tc>
        <w:tc>
          <w:tcPr>
            <w:tcW w:w="1202" w:type="dxa"/>
            <w:vAlign w:val="center"/>
          </w:tcPr>
          <w:p>
            <w:pPr>
              <w:widowControl/>
              <w:jc w:val="center"/>
              <w:rPr>
                <w:rFonts w:ascii="仿宋" w:hAnsi="仿宋" w:eastAsia="仿宋"/>
                <w:b/>
                <w:spacing w:val="20"/>
                <w:sz w:val="24"/>
                <w:szCs w:val="24"/>
              </w:rPr>
            </w:pPr>
            <w:r>
              <w:rPr>
                <w:rFonts w:hint="eastAsia" w:ascii="黑体" w:hAnsi="黑体" w:eastAsia="黑体"/>
                <w:bCs/>
                <w:sz w:val="24"/>
                <w:szCs w:val="24"/>
              </w:rPr>
              <w:t>线下学时</w:t>
            </w:r>
          </w:p>
        </w:tc>
        <w:tc>
          <w:tcPr>
            <w:tcW w:w="956" w:type="dxa"/>
            <w:vMerge w:val="continue"/>
            <w:vAlign w:val="center"/>
          </w:tcPr>
          <w:p>
            <w:pPr>
              <w:widowControl/>
              <w:jc w:val="center"/>
              <w:rPr>
                <w:rFonts w:ascii="仿宋" w:hAnsi="仿宋" w:eastAsia="仿宋"/>
                <w:b/>
                <w:spacing w:val="20"/>
                <w:sz w:val="24"/>
                <w:szCs w:val="24"/>
              </w:rPr>
            </w:pPr>
          </w:p>
        </w:tc>
        <w:tc>
          <w:tcPr>
            <w:tcW w:w="1900" w:type="dxa"/>
            <w:vMerge w:val="continue"/>
            <w:vAlign w:val="center"/>
          </w:tcPr>
          <w:p>
            <w:pPr>
              <w:widowControl/>
              <w:jc w:val="center"/>
              <w:rPr>
                <w:rFonts w:ascii="仿宋" w:hAnsi="仿宋" w:eastAsia="仿宋"/>
                <w:b/>
                <w:spacing w:val="20"/>
                <w:sz w:val="24"/>
                <w:szCs w:val="24"/>
              </w:rPr>
            </w:pPr>
          </w:p>
        </w:tc>
        <w:tc>
          <w:tcPr>
            <w:tcW w:w="939" w:type="dxa"/>
            <w:vMerge w:val="continue"/>
            <w:vAlign w:val="center"/>
          </w:tcPr>
          <w:p>
            <w:pPr>
              <w:widowControl/>
              <w:jc w:val="center"/>
              <w:rPr>
                <w:rFonts w:ascii="仿宋" w:hAnsi="仿宋" w:eastAsia="仿宋"/>
                <w:b/>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default"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智慧税务专业基础</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default" w:ascii="仿宋" w:hAnsi="仿宋" w:eastAsia="仿宋" w:cs="仿宋"/>
                <w:color w:val="auto"/>
                <w:sz w:val="24"/>
                <w:szCs w:val="24"/>
                <w:highlight w:val="none"/>
                <w:lang w:val="en-US" w:eastAsia="zh-CN"/>
              </w:rPr>
              <w:t>V092</w:t>
            </w:r>
            <w:bookmarkStart w:id="0" w:name="_GoBack"/>
            <w:bookmarkEnd w:id="0"/>
            <w:r>
              <w:rPr>
                <w:rStyle w:val="4"/>
                <w:rFonts w:hint="default" w:ascii="仿宋" w:hAnsi="仿宋" w:eastAsia="仿宋" w:cs="仿宋"/>
                <w:color w:val="auto"/>
                <w:sz w:val="24"/>
                <w:szCs w:val="24"/>
                <w:highlight w:val="none"/>
                <w:lang w:val="en-US" w:eastAsia="zh-CN"/>
              </w:rPr>
              <w:t>4012B</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32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24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12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考查</w:t>
            </w: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Times New Roman"/>
                <w:b w:val="0"/>
                <w:bCs/>
                <w:spacing w:val="20"/>
                <w:sz w:val="24"/>
                <w:szCs w:val="24"/>
                <w:lang w:val="en-US" w:eastAsia="zh-CN" w:bidi="ar-SA"/>
              </w:rPr>
            </w:pPr>
            <w:r>
              <w:rPr>
                <w:rStyle w:val="4"/>
                <w:rFonts w:hint="eastAsia" w:ascii="仿宋" w:hAnsi="仿宋" w:eastAsia="仿宋" w:cs="仿宋"/>
                <w:color w:val="auto"/>
                <w:sz w:val="24"/>
                <w:szCs w:val="24"/>
                <w:highlight w:val="none"/>
                <w:lang w:val="en-US" w:eastAsia="zh-CN"/>
              </w:rPr>
              <w:t>财政税务学院</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 xml:space="preserve">税收大数据分析与治理现代化 </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default" w:ascii="仿宋" w:hAnsi="仿宋" w:eastAsia="仿宋" w:cs="仿宋"/>
                <w:color w:val="auto"/>
                <w:sz w:val="24"/>
                <w:szCs w:val="24"/>
                <w:highlight w:val="none"/>
                <w:lang w:val="en-US" w:eastAsia="zh-CN"/>
              </w:rPr>
              <w:t>V0924022B</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32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24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12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考查</w:t>
            </w: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财政税务学院</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互联网+背景下的新型税收征管</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default" w:ascii="仿宋" w:hAnsi="仿宋" w:eastAsia="仿宋" w:cs="仿宋"/>
                <w:color w:val="auto"/>
                <w:sz w:val="24"/>
                <w:szCs w:val="24"/>
                <w:highlight w:val="none"/>
                <w:lang w:val="en-US" w:eastAsia="zh-CN"/>
              </w:rPr>
              <w:t>V0924032B</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32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12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考查</w:t>
            </w: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财政税务学院</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r>
              <w:rPr>
                <w:rFonts w:hint="eastAsia" w:eastAsia="仿宋" w:cs="Times New Roman"/>
                <w:b w:val="0"/>
                <w:bCs/>
                <w:spacing w:val="2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数字时代的税收筹划</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default" w:ascii="仿宋" w:hAnsi="仿宋" w:eastAsia="仿宋" w:cs="仿宋"/>
                <w:color w:val="auto"/>
                <w:sz w:val="24"/>
                <w:szCs w:val="24"/>
                <w:highlight w:val="none"/>
                <w:lang w:val="en-US" w:eastAsia="zh-CN"/>
              </w:rPr>
              <w:t>V0924042B</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32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12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考查</w:t>
            </w: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财政税务学院</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大数据背景下的税务稽查</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default" w:ascii="仿宋" w:hAnsi="仿宋" w:eastAsia="仿宋" w:cs="仿宋"/>
                <w:color w:val="auto"/>
                <w:sz w:val="24"/>
                <w:szCs w:val="24"/>
                <w:highlight w:val="none"/>
                <w:lang w:val="en-US" w:eastAsia="zh-CN"/>
              </w:rPr>
              <w:t>V0924052B</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32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12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考查</w:t>
            </w: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财政税务学院</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default"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大数据与税收风险管理</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default" w:ascii="仿宋" w:hAnsi="仿宋" w:eastAsia="仿宋" w:cs="仿宋"/>
                <w:color w:val="auto"/>
                <w:sz w:val="24"/>
                <w:szCs w:val="24"/>
                <w:highlight w:val="none"/>
                <w:lang w:val="en-US" w:eastAsia="zh-CN"/>
              </w:rPr>
              <w:t>V0924062B</w:t>
            </w: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32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r>
              <w:rPr>
                <w:rFonts w:hint="eastAsia" w:eastAsia="仿宋" w:cs="Times New Roman"/>
                <w:b w:val="0"/>
                <w:bCs/>
                <w:spacing w:val="20"/>
                <w:sz w:val="24"/>
                <w:szCs w:val="24"/>
                <w:lang w:val="en-US" w:eastAsia="zh-CN"/>
              </w:rPr>
              <w:t>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eastAsia" w:eastAsia="仿宋" w:cs="Times New Roman"/>
                <w:b w:val="0"/>
                <w:bCs/>
                <w:spacing w:val="20"/>
                <w:sz w:val="24"/>
                <w:szCs w:val="24"/>
                <w:lang w:val="en-US" w:eastAsia="zh-CN"/>
              </w:rPr>
              <w:t>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12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考查</w:t>
            </w: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Style w:val="4"/>
                <w:rFonts w:hint="eastAsia" w:ascii="仿宋" w:hAnsi="仿宋" w:eastAsia="仿宋" w:cs="仿宋"/>
                <w:color w:val="auto"/>
                <w:sz w:val="24"/>
                <w:szCs w:val="24"/>
                <w:highlight w:val="none"/>
                <w:lang w:val="en-US" w:eastAsia="zh-CN"/>
              </w:rPr>
            </w:pPr>
            <w:r>
              <w:rPr>
                <w:rStyle w:val="4"/>
                <w:rFonts w:hint="eastAsia" w:ascii="仿宋" w:hAnsi="仿宋" w:eastAsia="仿宋" w:cs="仿宋"/>
                <w:color w:val="auto"/>
                <w:sz w:val="24"/>
                <w:szCs w:val="24"/>
                <w:highlight w:val="none"/>
                <w:lang w:val="en-US" w:eastAsia="zh-CN"/>
              </w:rPr>
              <w:t>财政税务学院</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bidi="ar-SA"/>
              </w:rPr>
            </w:pPr>
            <w:r>
              <w:rPr>
                <w:rFonts w:hint="default" w:ascii="Times New Roman" w:hAnsi="Times New Roman" w:eastAsia="仿宋" w:cs="Times New Roman"/>
                <w:b w:val="0"/>
                <w:bCs/>
                <w:spacing w:val="20"/>
                <w:sz w:val="24"/>
                <w:szCs w:val="24"/>
                <w:lang w:val="en-US" w:eastAsia="zh-CN"/>
              </w:rPr>
              <w:t>2-</w:t>
            </w:r>
            <w:r>
              <w:rPr>
                <w:rFonts w:hint="eastAsia" w:eastAsia="仿宋" w:cs="Times New Roman"/>
                <w:b w:val="0"/>
                <w:bCs/>
                <w:spacing w:val="2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334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黑体" w:eastAsia="黑体"/>
                <w:b w:val="0"/>
                <w:bCs/>
                <w:sz w:val="24"/>
                <w:szCs w:val="24"/>
              </w:rPr>
            </w:pPr>
            <w:r>
              <w:rPr>
                <w:rFonts w:hint="eastAsia" w:ascii="黑体" w:hAnsi="黑体" w:eastAsia="黑体"/>
                <w:b w:val="0"/>
                <w:bCs/>
                <w:sz w:val="24"/>
                <w:szCs w:val="24"/>
              </w:rPr>
              <w:t>合计</w:t>
            </w:r>
          </w:p>
        </w:tc>
        <w:tc>
          <w:tcPr>
            <w:tcW w:w="144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b w:val="0"/>
                <w:bCs/>
                <w:spacing w:val="20"/>
                <w:sz w:val="24"/>
                <w:szCs w:val="24"/>
              </w:rPr>
            </w:pPr>
          </w:p>
        </w:tc>
        <w:tc>
          <w:tcPr>
            <w:tcW w:w="68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default" w:ascii="Times New Roman" w:hAnsi="Times New Roman" w:eastAsia="仿宋" w:cs="Times New Roman"/>
                <w:b w:val="0"/>
                <w:bCs/>
                <w:spacing w:val="20"/>
                <w:sz w:val="24"/>
                <w:szCs w:val="24"/>
                <w:lang w:val="en-US" w:eastAsia="zh-CN"/>
              </w:rPr>
              <w:t>12</w:t>
            </w:r>
          </w:p>
        </w:tc>
        <w:tc>
          <w:tcPr>
            <w:tcW w:w="97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192</w:t>
            </w:r>
          </w:p>
        </w:tc>
        <w:tc>
          <w:tcPr>
            <w:tcW w:w="87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144</w:t>
            </w:r>
          </w:p>
        </w:tc>
        <w:tc>
          <w:tcPr>
            <w:tcW w:w="80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48</w:t>
            </w:r>
          </w:p>
        </w:tc>
        <w:tc>
          <w:tcPr>
            <w:tcW w:w="125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eastAsia" w:eastAsia="仿宋" w:cs="Times New Roman"/>
                <w:b w:val="0"/>
                <w:bCs/>
                <w:spacing w:val="20"/>
                <w:sz w:val="24"/>
                <w:szCs w:val="24"/>
                <w:lang w:val="en-US" w:eastAsia="zh-CN"/>
              </w:rPr>
              <w:t>72</w:t>
            </w:r>
          </w:p>
        </w:tc>
        <w:tc>
          <w:tcPr>
            <w:tcW w:w="1202"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val="0"/>
                <w:bCs/>
                <w:spacing w:val="20"/>
                <w:sz w:val="24"/>
                <w:szCs w:val="24"/>
                <w:lang w:val="en-US" w:eastAsia="zh-CN"/>
              </w:rPr>
            </w:pPr>
            <w:r>
              <w:rPr>
                <w:rFonts w:hint="default" w:ascii="Times New Roman" w:hAnsi="Times New Roman" w:eastAsia="仿宋" w:cs="Times New Roman"/>
                <w:b w:val="0"/>
                <w:bCs/>
                <w:spacing w:val="20"/>
                <w:sz w:val="24"/>
                <w:szCs w:val="24"/>
                <w:lang w:val="en-US" w:eastAsia="zh-CN"/>
              </w:rPr>
              <w:t>1</w:t>
            </w:r>
            <w:r>
              <w:rPr>
                <w:rFonts w:hint="eastAsia" w:eastAsia="仿宋" w:cs="Times New Roman"/>
                <w:b w:val="0"/>
                <w:bCs/>
                <w:spacing w:val="20"/>
                <w:sz w:val="24"/>
                <w:szCs w:val="24"/>
                <w:lang w:val="en-US" w:eastAsia="zh-CN"/>
              </w:rPr>
              <w:t>20</w:t>
            </w:r>
          </w:p>
        </w:tc>
        <w:tc>
          <w:tcPr>
            <w:tcW w:w="95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b w:val="0"/>
                <w:bCs/>
                <w:spacing w:val="20"/>
                <w:sz w:val="24"/>
                <w:szCs w:val="24"/>
              </w:rPr>
            </w:pPr>
          </w:p>
        </w:tc>
        <w:tc>
          <w:tcPr>
            <w:tcW w:w="1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b w:val="0"/>
                <w:bCs/>
                <w:spacing w:val="20"/>
                <w:sz w:val="24"/>
                <w:szCs w:val="24"/>
              </w:rPr>
            </w:pPr>
            <w:r>
              <w:rPr>
                <w:rFonts w:hint="eastAsia" w:ascii="仿宋" w:hAnsi="仿宋" w:eastAsia="仿宋"/>
                <w:b w:val="0"/>
                <w:bCs/>
                <w:spacing w:val="20"/>
                <w:sz w:val="24"/>
                <w:szCs w:val="24"/>
              </w:rPr>
              <w:t>-</w:t>
            </w:r>
          </w:p>
        </w:tc>
        <w:tc>
          <w:tcPr>
            <w:tcW w:w="93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b w:val="0"/>
                <w:bCs/>
                <w:spacing w:val="20"/>
                <w:sz w:val="24"/>
                <w:szCs w:val="24"/>
              </w:rPr>
            </w:pPr>
            <w:r>
              <w:rPr>
                <w:rFonts w:hint="eastAsia" w:ascii="仿宋" w:hAnsi="仿宋" w:eastAsia="仿宋"/>
                <w:b w:val="0"/>
                <w:bCs/>
                <w:spacing w:val="20"/>
                <w:sz w:val="24"/>
                <w:szCs w:val="24"/>
              </w:rPr>
              <w:t>-</w:t>
            </w:r>
          </w:p>
        </w:tc>
      </w:tr>
    </w:tbl>
    <w:p>
      <w:pPr>
        <w:widowControl/>
        <w:spacing w:line="360" w:lineRule="auto"/>
        <w:rPr>
          <w:bCs/>
          <w:sz w:val="24"/>
          <w:szCs w:val="24"/>
        </w:rPr>
      </w:pPr>
      <w:r>
        <w:rPr>
          <w:rFonts w:hint="eastAsia"/>
          <w:bCs/>
          <w:sz w:val="24"/>
          <w:szCs w:val="24"/>
        </w:rPr>
        <w:t>备注：</w:t>
      </w:r>
    </w:p>
    <w:p>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pPr>
        <w:widowControl/>
        <w:rPr>
          <w:bCs/>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color w:val="auto"/>
          <w:sz w:val="24"/>
          <w:szCs w:val="24"/>
          <w:highlight w:val="none"/>
        </w:rPr>
        <w:t>课程代码</w:t>
      </w:r>
      <w:r>
        <w:rPr>
          <w:rFonts w:hint="eastAsia" w:ascii="仿宋_GB2312" w:eastAsia="仿宋_GB2312"/>
          <w:color w:val="auto"/>
          <w:sz w:val="24"/>
          <w:szCs w:val="24"/>
          <w:highlight w:val="none"/>
          <w:lang w:val="en-US" w:eastAsia="zh-CN"/>
        </w:rPr>
        <w:t>由教务处</w:t>
      </w:r>
      <w:r>
        <w:rPr>
          <w:rFonts w:hint="eastAsia" w:ascii="仿宋_GB2312" w:eastAsia="仿宋_GB2312"/>
          <w:color w:val="auto"/>
          <w:sz w:val="24"/>
          <w:szCs w:val="24"/>
          <w:highlight w:val="none"/>
        </w:rPr>
        <w:t>统一编制；</w:t>
      </w:r>
      <w:r>
        <w:rPr>
          <w:rFonts w:hint="eastAsia" w:ascii="仿宋_GB2312" w:eastAsia="仿宋_GB2312"/>
          <w:sz w:val="24"/>
          <w:szCs w:val="24"/>
        </w:rPr>
        <w:t>“开课学期”根据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w:t>
      </w:r>
      <w:r>
        <w:rPr>
          <w:rFonts w:hint="eastAsia" w:ascii="仿宋_GB2312" w:eastAsia="仿宋_GB2312"/>
          <w:sz w:val="24"/>
          <w:szCs w:val="24"/>
          <w:lang w:val="en-US" w:eastAsia="zh-CN"/>
        </w:rPr>
        <w:t>考查</w:t>
      </w:r>
      <w:r>
        <w:rPr>
          <w:rFonts w:hint="eastAsia" w:ascii="宋体" w:hAnsi="宋体" w:cs="宋体"/>
          <w:sz w:val="24"/>
          <w:szCs w:val="24"/>
        </w:rPr>
        <w:t>；</w:t>
      </w:r>
    </w:p>
    <w:p>
      <w:pPr>
        <w:widowControl/>
        <w:rPr>
          <w:rFonts w:hint="eastAsia" w:ascii="仿宋_GB2312" w:eastAsia="仿宋_GB2312"/>
          <w:sz w:val="24"/>
          <w:szCs w:val="24"/>
        </w:rPr>
        <w:sectPr>
          <w:pgSz w:w="16838" w:h="11906" w:orient="landscape"/>
          <w:pgMar w:top="1418" w:right="1134" w:bottom="1418" w:left="1134" w:header="851" w:footer="454" w:gutter="0"/>
          <w:cols w:space="720" w:num="1"/>
          <w:docGrid w:type="lines" w:linePitch="312" w:charSpace="0"/>
        </w:sect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pPr>
        <w:widowControl/>
        <w:spacing w:line="360" w:lineRule="auto"/>
        <w:ind w:firstLine="523" w:firstLineChars="187"/>
        <w:jc w:val="left"/>
        <w:rPr>
          <w:rFonts w:ascii="黑体" w:hAnsi="黑体" w:eastAsia="黑体" w:cs="黑体"/>
          <w:bCs/>
          <w:sz w:val="28"/>
          <w:szCs w:val="28"/>
        </w:rPr>
      </w:pPr>
      <w:r>
        <w:rPr>
          <w:rFonts w:hint="eastAsia" w:ascii="黑体" w:hAnsi="黑体" w:eastAsia="黑体" w:cs="黑体"/>
          <w:bCs/>
          <w:sz w:val="28"/>
          <w:szCs w:val="28"/>
        </w:rPr>
        <w:t>六、课程简介</w:t>
      </w:r>
    </w:p>
    <w:tbl>
      <w:tblPr>
        <w:tblStyle w:val="2"/>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110"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8" w:hRule="exact"/>
          <w:tblHeader/>
          <w:jc w:val="center"/>
        </w:trPr>
        <w:tc>
          <w:tcPr>
            <w:tcW w:w="1110" w:type="dxa"/>
            <w:vAlign w:val="center"/>
          </w:tcPr>
          <w:p>
            <w:pPr>
              <w:widowControl/>
              <w:jc w:val="center"/>
              <w:rPr>
                <w:rFonts w:ascii="黑体" w:hAnsi="黑体" w:eastAsia="黑体"/>
                <w:bCs/>
                <w:sz w:val="24"/>
                <w:szCs w:val="24"/>
              </w:rPr>
            </w:pPr>
            <w:r>
              <w:rPr>
                <w:rFonts w:hint="eastAsia" w:ascii="黑体" w:hAnsi="黑体" w:eastAsia="黑体"/>
                <w:bCs/>
                <w:sz w:val="24"/>
                <w:szCs w:val="24"/>
              </w:rPr>
              <w:t>1</w:t>
            </w:r>
          </w:p>
        </w:tc>
        <w:tc>
          <w:tcPr>
            <w:tcW w:w="211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top"/>
              <w:rPr>
                <w:rFonts w:hint="eastAsia" w:ascii="仿宋" w:hAnsi="仿宋" w:eastAsia="仿宋" w:cs="仿宋"/>
                <w:bCs/>
                <w:sz w:val="24"/>
                <w:szCs w:val="24"/>
                <w:highlight w:val="none"/>
              </w:rPr>
            </w:pPr>
            <w:r>
              <w:rPr>
                <w:rStyle w:val="4"/>
                <w:rFonts w:hint="eastAsia" w:ascii="仿宋" w:hAnsi="仿宋" w:eastAsia="仿宋" w:cs="仿宋"/>
                <w:sz w:val="24"/>
                <w:szCs w:val="24"/>
                <w:highlight w:val="none"/>
                <w:lang w:val="en-US" w:eastAsia="zh-CN"/>
              </w:rPr>
              <w:t>智慧税务专业基础</w:t>
            </w:r>
          </w:p>
        </w:tc>
        <w:tc>
          <w:tcPr>
            <w:tcW w:w="5922"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课程是专业基础课程，旨在通过讲授中国税收制度，为学生后续相关专业课程的学习奠定良好的理论基础。通过本课程的学习，学生将全面了解中国税制，提升智慧税务专业素养与分析实际问题的能力。课程内容主要包括导论、增值税、消费税、企业所得税、个人所得税、其他各税、中国税制的发展与展望等内容。在教学设计上，本课程注重理论紧密结合实践，通过案例分析、分组讨论等方式加深学生对课程内容的理解，通过播放视频、课堂互动等方式培养学生对课程的学习兴趣，提高学生的专业水平和综合能力。</w:t>
            </w: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7" w:hRule="exact"/>
          <w:tblHeader/>
          <w:jc w:val="center"/>
        </w:trPr>
        <w:tc>
          <w:tcPr>
            <w:tcW w:w="1110" w:type="dxa"/>
            <w:vAlign w:val="center"/>
          </w:tcPr>
          <w:p>
            <w:pPr>
              <w:widowControl/>
              <w:jc w:val="center"/>
              <w:rPr>
                <w:rFonts w:ascii="黑体" w:hAnsi="黑体" w:eastAsia="黑体"/>
                <w:bCs/>
                <w:sz w:val="24"/>
                <w:szCs w:val="24"/>
              </w:rPr>
            </w:pPr>
            <w:r>
              <w:rPr>
                <w:rFonts w:hint="eastAsia" w:ascii="黑体" w:hAnsi="黑体" w:eastAsia="黑体"/>
                <w:bCs/>
                <w:sz w:val="24"/>
                <w:szCs w:val="24"/>
              </w:rPr>
              <w:t>2</w:t>
            </w:r>
          </w:p>
        </w:tc>
        <w:tc>
          <w:tcPr>
            <w:tcW w:w="211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top"/>
              <w:rPr>
                <w:rFonts w:hint="eastAsia" w:ascii="仿宋" w:hAnsi="仿宋" w:eastAsia="仿宋" w:cs="仿宋"/>
                <w:bCs/>
                <w:sz w:val="24"/>
                <w:szCs w:val="24"/>
                <w:highlight w:val="none"/>
                <w:lang w:val="en-US" w:eastAsia="zh-CN" w:bidi="ar-SA"/>
              </w:rPr>
            </w:pPr>
            <w:r>
              <w:rPr>
                <w:rStyle w:val="4"/>
                <w:rFonts w:hint="eastAsia" w:ascii="仿宋" w:hAnsi="仿宋" w:eastAsia="仿宋" w:cs="仿宋"/>
                <w:sz w:val="24"/>
                <w:szCs w:val="24"/>
                <w:highlight w:val="none"/>
                <w:lang w:val="en-US" w:eastAsia="zh-CN"/>
              </w:rPr>
              <w:t>税收大数据分析与治理现代化</w:t>
            </w:r>
          </w:p>
        </w:tc>
        <w:tc>
          <w:tcPr>
            <w:tcW w:w="5922"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本课程研究现代税收领域的大数据分析及其对国家治理、企业治理现代化的影响。课程首先介绍税收大数据的基本理念及其在税收领域中的战略意义，探讨税收大数据的获取途径及实际应用。在此过程中将引导学员构建完备的税收分析指标体系，并介绍税收经济分析与预测方法，并通过实际案例展示其应用。课程还将探讨税收数据挖掘和人工神经网络模型等技术在税收遵从风险分析和税收风险预警评估中的实际应用。基于税收大数据分析，课程将讨论税收大数据分析在税收治理、政府监管企业行为、企业内部治理等方面的影响，讲授税收大数据分析对治理现代化的影响。理论讲授过程中，教师通过引入丰富的现实案例，增强知识的可理解性，进而培养学生的大数据分析能力和独立分析、解决税收问题的能力。</w:t>
            </w: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5" w:hRule="exact"/>
          <w:tblHeader/>
          <w:jc w:val="center"/>
        </w:trPr>
        <w:tc>
          <w:tcPr>
            <w:tcW w:w="1110" w:type="dxa"/>
            <w:vAlign w:val="center"/>
          </w:tcPr>
          <w:p>
            <w:pPr>
              <w:widowControl/>
              <w:jc w:val="center"/>
              <w:rPr>
                <w:rFonts w:ascii="黑体" w:hAnsi="黑体" w:eastAsia="黑体"/>
                <w:bCs/>
                <w:sz w:val="24"/>
                <w:szCs w:val="24"/>
              </w:rPr>
            </w:pPr>
            <w:r>
              <w:rPr>
                <w:rFonts w:hint="eastAsia" w:ascii="黑体" w:hAnsi="黑体" w:eastAsia="黑体"/>
                <w:bCs/>
                <w:sz w:val="24"/>
                <w:szCs w:val="24"/>
              </w:rPr>
              <w:t>3</w:t>
            </w:r>
          </w:p>
        </w:tc>
        <w:tc>
          <w:tcPr>
            <w:tcW w:w="2118"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top"/>
              <w:rPr>
                <w:rFonts w:hint="eastAsia" w:ascii="仿宋" w:hAnsi="仿宋" w:eastAsia="仿宋" w:cs="仿宋"/>
                <w:bCs/>
                <w:sz w:val="24"/>
                <w:szCs w:val="24"/>
                <w:highlight w:val="none"/>
                <w:lang w:val="en-US" w:eastAsia="zh-CN" w:bidi="ar-SA"/>
              </w:rPr>
            </w:pPr>
            <w:r>
              <w:rPr>
                <w:rStyle w:val="4"/>
                <w:rFonts w:hint="eastAsia" w:ascii="仿宋" w:hAnsi="仿宋" w:eastAsia="仿宋" w:cs="仿宋"/>
                <w:sz w:val="24"/>
                <w:szCs w:val="24"/>
                <w:highlight w:val="none"/>
                <w:lang w:val="en-US" w:eastAsia="zh-CN"/>
              </w:rPr>
              <w:t>互联网+背景下的新型税收征管</w:t>
            </w:r>
          </w:p>
        </w:tc>
        <w:tc>
          <w:tcPr>
            <w:tcW w:w="5922"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本课程以“互联网+背景下的新型税收征管”为主题，全面深入论述五大税收征管热点，即税收治理创新、税收征管制度完善、税收征管风险管理、大数据与税收征管深度融合和电子商务局建设。课程内容包括数字经济下新商业模式的税收治理、整体视角下税收治理的经验与启示、变革税务执法和监管理念、提升税收治理能力，以及“互联网+”背景下的税收征管制度研究等。本课程注重理论实践结合，通过案例分析、讨论等方式加深学生对课程内容的理解，并培养学生的综合能力和创新意识。旨在培养学生对“互联网+”时代背景下的税收征管模式转型有更深入的理解和认知，为税务从业人员的职业发展奠定基础。</w:t>
            </w: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1" w:hRule="exact"/>
          <w:tblHeader/>
          <w:jc w:val="center"/>
        </w:trPr>
        <w:tc>
          <w:tcPr>
            <w:tcW w:w="1110" w:type="dxa"/>
            <w:vAlign w:val="center"/>
          </w:tcPr>
          <w:p>
            <w:pPr>
              <w:widowControl/>
              <w:jc w:val="center"/>
              <w:rPr>
                <w:rFonts w:ascii="黑体" w:hAnsi="黑体" w:eastAsia="黑体"/>
                <w:bCs/>
                <w:sz w:val="24"/>
                <w:szCs w:val="24"/>
              </w:rPr>
            </w:pPr>
            <w:r>
              <w:rPr>
                <w:rFonts w:hint="eastAsia" w:ascii="黑体" w:hAnsi="黑体" w:eastAsia="黑体"/>
                <w:bCs/>
                <w:sz w:val="24"/>
                <w:szCs w:val="24"/>
              </w:rPr>
              <w:t>4</w:t>
            </w:r>
          </w:p>
        </w:tc>
        <w:tc>
          <w:tcPr>
            <w:tcW w:w="2118"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top"/>
              <w:rPr>
                <w:rFonts w:hint="eastAsia" w:ascii="仿宋" w:hAnsi="仿宋" w:eastAsia="仿宋" w:cs="仿宋"/>
                <w:bCs/>
                <w:sz w:val="24"/>
                <w:szCs w:val="24"/>
                <w:highlight w:val="none"/>
                <w:lang w:val="en-US" w:eastAsia="zh-CN" w:bidi="ar-SA"/>
              </w:rPr>
            </w:pPr>
            <w:r>
              <w:rPr>
                <w:rStyle w:val="4"/>
                <w:rFonts w:hint="eastAsia" w:ascii="仿宋" w:hAnsi="仿宋" w:eastAsia="仿宋" w:cs="仿宋"/>
                <w:sz w:val="24"/>
                <w:szCs w:val="24"/>
                <w:highlight w:val="none"/>
                <w:lang w:val="en-US" w:eastAsia="zh-CN"/>
              </w:rPr>
              <w:t>数字时代的税收筹划</w:t>
            </w:r>
          </w:p>
        </w:tc>
        <w:tc>
          <w:tcPr>
            <w:tcW w:w="5922"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税收筹划作为一门综合性、应用性较强的课程，既与税收制度和政府税收征管行为紧密相连，又反映企业在不同制度与征管背景下的纳税行为和动机。随着数字技术的飞速发展，企业税收筹划的环境和手段发生了深刻变化。本课程结合数字时代的特征和以数治税的税收征管改革背景，讲解企业在组织架构、生产经营、投融资等活动中可能采取的税收筹划措施。通过本课程的学习，学生将掌握税收筹划的基本原理和方法，主要税种的筹划思路与手段，以及我国现行税制在规范企业纳税行为方面存在的不足。本课程拟采用理论教学与案例教学相结合的方式进行讲授，辅以多媒体资料的运用，丰富课程教学活动，加深学生对知识点的理解。</w:t>
            </w: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3" w:hRule="exact"/>
          <w:tblHeader/>
          <w:jc w:val="center"/>
        </w:trPr>
        <w:tc>
          <w:tcPr>
            <w:tcW w:w="1110" w:type="dxa"/>
            <w:vAlign w:val="center"/>
          </w:tcPr>
          <w:p>
            <w:pPr>
              <w:widowControl/>
              <w:jc w:val="center"/>
              <w:rPr>
                <w:rFonts w:ascii="黑体" w:hAnsi="黑体" w:eastAsia="黑体"/>
                <w:bCs/>
                <w:sz w:val="24"/>
                <w:szCs w:val="24"/>
              </w:rPr>
            </w:pPr>
            <w:r>
              <w:rPr>
                <w:rFonts w:hint="eastAsia" w:ascii="黑体" w:hAnsi="黑体" w:eastAsia="黑体"/>
                <w:bCs/>
                <w:sz w:val="24"/>
                <w:szCs w:val="24"/>
              </w:rPr>
              <w:t>5</w:t>
            </w:r>
          </w:p>
        </w:tc>
        <w:tc>
          <w:tcPr>
            <w:tcW w:w="211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top"/>
              <w:rPr>
                <w:rFonts w:hint="eastAsia" w:ascii="仿宋" w:hAnsi="仿宋" w:eastAsia="仿宋" w:cs="仿宋"/>
                <w:bCs/>
                <w:sz w:val="24"/>
                <w:szCs w:val="24"/>
                <w:highlight w:val="none"/>
                <w:lang w:val="en-US" w:eastAsia="zh-CN" w:bidi="ar-SA"/>
              </w:rPr>
            </w:pPr>
            <w:r>
              <w:rPr>
                <w:rStyle w:val="4"/>
                <w:rFonts w:hint="eastAsia" w:ascii="仿宋" w:hAnsi="仿宋" w:eastAsia="仿宋" w:cs="仿宋"/>
                <w:sz w:val="24"/>
                <w:szCs w:val="24"/>
                <w:highlight w:val="none"/>
                <w:lang w:val="en-US" w:eastAsia="zh-CN"/>
              </w:rPr>
              <w:t>大数据背景下的税务稽查</w:t>
            </w:r>
          </w:p>
        </w:tc>
        <w:tc>
          <w:tcPr>
            <w:tcW w:w="5922"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napToGrid/>
                <w:kern w:val="0"/>
                <w:sz w:val="24"/>
                <w:szCs w:val="24"/>
                <w:highlight w:val="none"/>
                <w:lang w:eastAsia="zh-CN"/>
              </w:rPr>
            </w:pPr>
            <w:r>
              <w:rPr>
                <w:rFonts w:hint="eastAsia" w:ascii="仿宋" w:hAnsi="仿宋" w:eastAsia="仿宋" w:cs="仿宋"/>
                <w:snapToGrid/>
                <w:kern w:val="0"/>
                <w:sz w:val="24"/>
                <w:szCs w:val="24"/>
                <w:highlight w:val="none"/>
                <w:lang w:eastAsia="zh-CN"/>
              </w:rPr>
              <w:t>在大数据背景下，税务稽查作为税收现代化的重要组成部分，正在经历着深刻的变革。利用大数据技术构建稽查现代化体系已经成为大势所趋。本课程将探讨如何利用大数据技术提高税务稽查的效率和准确性。课程内容包括：介绍大数据的概念、特点以及在税务稽查中的应用，阐述大数据时代下税务稽查的重要性和必要性；介绍税务稽查的流程和实际案例，包括案源管理、选案、检查、审理和执行等环节，通过案例分析说明大数据技术在税务稽查中的应用效果；探讨大数据背景下税务稽查的未来发展趋势，包括数字化、智能化和协同化等方面。本课程旨在帮助学生全面了解和掌握大数据背景下的税务稽查知识和技能，以培养适应现代税务工作需要的高素质人才。</w:t>
            </w:r>
          </w:p>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5" w:hRule="exact"/>
          <w:tblHeader/>
          <w:jc w:val="center"/>
        </w:trPr>
        <w:tc>
          <w:tcPr>
            <w:tcW w:w="1110" w:type="dxa"/>
            <w:vAlign w:val="center"/>
          </w:tcPr>
          <w:p>
            <w:pPr>
              <w:widowControl/>
              <w:jc w:val="center"/>
              <w:rPr>
                <w:rFonts w:ascii="黑体" w:hAnsi="黑体" w:eastAsia="黑体"/>
                <w:bCs/>
                <w:sz w:val="24"/>
                <w:szCs w:val="24"/>
              </w:rPr>
            </w:pPr>
            <w:r>
              <w:rPr>
                <w:rFonts w:hint="eastAsia" w:ascii="黑体" w:hAnsi="黑体" w:eastAsia="黑体"/>
                <w:bCs/>
                <w:sz w:val="24"/>
                <w:szCs w:val="24"/>
              </w:rPr>
              <w:t>6</w:t>
            </w:r>
          </w:p>
        </w:tc>
        <w:tc>
          <w:tcPr>
            <w:tcW w:w="211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top"/>
              <w:rPr>
                <w:rFonts w:hint="eastAsia" w:ascii="仿宋" w:hAnsi="仿宋" w:eastAsia="仿宋" w:cs="仿宋"/>
                <w:bCs/>
                <w:sz w:val="24"/>
                <w:szCs w:val="24"/>
                <w:highlight w:val="none"/>
                <w:lang w:val="en-US" w:eastAsia="zh-CN" w:bidi="ar-SA"/>
              </w:rPr>
            </w:pPr>
            <w:r>
              <w:rPr>
                <w:rStyle w:val="4"/>
                <w:rFonts w:hint="eastAsia" w:ascii="仿宋" w:hAnsi="仿宋" w:eastAsia="仿宋" w:cs="仿宋"/>
                <w:sz w:val="24"/>
                <w:szCs w:val="24"/>
                <w:highlight w:val="none"/>
                <w:lang w:val="en-US" w:eastAsia="zh-CN"/>
              </w:rPr>
              <w:t>大数据与税收风险管理</w:t>
            </w:r>
          </w:p>
        </w:tc>
        <w:tc>
          <w:tcPr>
            <w:tcW w:w="5922"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both"/>
              <w:rPr>
                <w:rFonts w:hint="eastAsia" w:ascii="仿宋" w:hAnsi="仿宋" w:eastAsia="仿宋" w:cs="仿宋"/>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snapToGrid/>
                <w:kern w:val="0"/>
                <w:sz w:val="24"/>
                <w:szCs w:val="24"/>
                <w:highlight w:val="none"/>
                <w:lang w:eastAsia="zh-CN"/>
              </w:rPr>
            </w:pPr>
            <w:r>
              <w:rPr>
                <w:rFonts w:hint="eastAsia" w:ascii="仿宋" w:hAnsi="仿宋" w:eastAsia="仿宋" w:cs="仿宋"/>
                <w:snapToGrid/>
                <w:kern w:val="0"/>
                <w:sz w:val="24"/>
                <w:szCs w:val="24"/>
                <w:highlight w:val="none"/>
                <w:lang w:eastAsia="zh-CN"/>
              </w:rPr>
              <w:t>在现代经济活动中，税务管理作为企业运营的关键环节，对于维护企业合法权益和促进可持续发展具有重要意义。本课程深入探讨了税收风险管理的基本架构、关键步骤与操作技巧，同时重点介绍了大数据和现代信息技术在税务领域的创新应用。学生将学习到如何运用大数据分析工具进行税务风险评估，掌握智能税务系统的运作机制，并了解税收法律法规在实际企业运营中的应用。</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snapToGrid/>
                <w:kern w:val="0"/>
                <w:sz w:val="24"/>
                <w:szCs w:val="24"/>
                <w:highlight w:val="none"/>
                <w:lang w:eastAsia="zh-CN"/>
              </w:rPr>
            </w:pPr>
            <w:r>
              <w:rPr>
                <w:rFonts w:hint="eastAsia" w:ascii="仿宋" w:hAnsi="仿宋" w:eastAsia="仿宋" w:cs="仿宋"/>
                <w:snapToGrid/>
                <w:kern w:val="0"/>
                <w:sz w:val="24"/>
                <w:szCs w:val="24"/>
                <w:highlight w:val="none"/>
                <w:lang w:eastAsia="zh-CN"/>
              </w:rPr>
              <w:t>教学内容不仅限于税收学专业学生，也适用于财务管理、数据分析、信息技术等相关专业的学生，以及对税务管理感兴趣的跨学科背景</w:t>
            </w:r>
            <w:r>
              <w:rPr>
                <w:rFonts w:hint="eastAsia" w:ascii="仿宋" w:hAnsi="仿宋" w:eastAsia="仿宋" w:cs="仿宋"/>
                <w:snapToGrid/>
                <w:kern w:val="0"/>
                <w:sz w:val="24"/>
                <w:szCs w:val="24"/>
                <w:highlight w:val="none"/>
                <w:lang w:val="en-US" w:eastAsia="zh-CN"/>
              </w:rPr>
              <w:t>学生</w:t>
            </w:r>
            <w:r>
              <w:rPr>
                <w:rFonts w:hint="eastAsia" w:ascii="仿宋" w:hAnsi="仿宋" w:eastAsia="仿宋" w:cs="仿宋"/>
                <w:snapToGrid/>
                <w:kern w:val="0"/>
                <w:sz w:val="24"/>
                <w:szCs w:val="24"/>
                <w:highlight w:val="none"/>
                <w:lang w:eastAsia="zh-CN"/>
              </w:rPr>
              <w:t>。通过本课程的学习，学生能够提升其分析和解决税务风险问题的能力，并能够在多元化的工作环境中应用所学知识。</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仿宋" w:hAnsi="仿宋" w:eastAsia="仿宋" w:cs="仿宋"/>
                <w:snapToGrid/>
                <w:kern w:val="0"/>
                <w:sz w:val="24"/>
                <w:szCs w:val="24"/>
                <w:highlight w:val="none"/>
                <w:lang w:eastAsia="zh-CN"/>
              </w:rPr>
            </w:pPr>
            <w:r>
              <w:rPr>
                <w:rFonts w:hint="eastAsia" w:ascii="仿宋" w:hAnsi="仿宋" w:eastAsia="仿宋" w:cs="仿宋"/>
                <w:snapToGrid/>
                <w:kern w:val="0"/>
                <w:sz w:val="24"/>
                <w:szCs w:val="24"/>
                <w:highlight w:val="none"/>
                <w:lang w:eastAsia="zh-CN"/>
              </w:rPr>
              <w:t>结合实际案例分析和操作演练，本课程旨在培养学生的实践操作技能，为未来的税务规划、合规管理、风险评估和策略制定打下坚实的基础。</w:t>
            </w: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 w:hAnsi="仿宋" w:eastAsia="仿宋" w:cs="仿宋"/>
                <w:bCs/>
                <w:sz w:val="24"/>
                <w:szCs w:val="24"/>
                <w:highlight w:val="none"/>
                <w:lang w:val="en-US" w:eastAsia="zh-CN" w:bidi="ar-SA"/>
              </w:rPr>
            </w:pPr>
          </w:p>
        </w:tc>
      </w:tr>
    </w:tbl>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ODhkODhlYzU3MWY1YWRiMWQzM2U3MWEwY2I5NWMifQ=="/>
  </w:docVars>
  <w:rsids>
    <w:rsidRoot w:val="00000000"/>
    <w:rsid w:val="186E3ABB"/>
    <w:rsid w:val="28474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 w:type="character" w:customStyle="1" w:styleId="4">
    <w:name w:val="font11"/>
    <w:basedOn w:val="3"/>
    <w:qFormat/>
    <w:uiPriority w:val="0"/>
    <w:rPr>
      <w:rFonts w:hint="eastAsia" w:ascii="宋体" w:hAnsi="宋体" w:eastAsia="宋体" w:cs="宋体"/>
      <w:color w:val="000000"/>
      <w:sz w:val="21"/>
      <w:szCs w:val="21"/>
      <w:u w:val="none"/>
    </w:rPr>
  </w:style>
  <w:style w:type="character" w:customStyle="1" w:styleId="5">
    <w:name w:val="font21"/>
    <w:basedOn w:val="3"/>
    <w:qFormat/>
    <w:uiPriority w:val="0"/>
    <w:rPr>
      <w:rFonts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2792</Words>
  <Characters>2857</Characters>
  <Paragraphs>184</Paragraphs>
  <TotalTime>0</TotalTime>
  <ScaleCrop>false</ScaleCrop>
  <LinksUpToDate>false</LinksUpToDate>
  <CharactersWithSpaces>2862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2023-05-06T03:14:00Z</dcterms:created>
  <dc:creator>Shine_ZHOU</dc:creator>
  <cp:lastModifiedBy>彼岸花开</cp:lastModifiedBy>
  <dcterms:modified xsi:type="dcterms:W3CDTF">2024-06-06T05:46:22Z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8A11FF5F107E4C1B87FD594E1376E3E7_13</vt:lpwstr>
  </property>
</Properties>
</file>