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exact"/>
        <w:ind w:left="558" w:hanging="558" w:hangingChars="155"/>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文化与传播学院</w:t>
      </w:r>
    </w:p>
    <w:p>
      <w:pPr>
        <w:spacing w:before="156" w:beforeLines="50" w:after="156" w:afterLines="50" w:line="480" w:lineRule="exact"/>
        <w:ind w:left="558" w:hanging="558" w:hangingChars="15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网络与新媒体微专业人才培养方案</w:t>
      </w:r>
    </w:p>
    <w:p>
      <w:pPr>
        <w:spacing w:before="156" w:beforeLines="50" w:after="156" w:afterLines="50" w:line="480" w:lineRule="exact"/>
        <w:ind w:left="558" w:hanging="558" w:hangingChars="155"/>
        <w:jc w:val="center"/>
        <w:rPr>
          <w:rFonts w:ascii="方正小标宋简体" w:hAnsi="方正小标宋简体" w:eastAsia="方正小标宋简体" w:cs="方正小标宋简体"/>
          <w:sz w:val="36"/>
          <w:szCs w:val="36"/>
        </w:rPr>
      </w:pPr>
    </w:p>
    <w:p>
      <w:pPr>
        <w:spacing w:before="156" w:before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一、专业培养目标</w:t>
      </w:r>
    </w:p>
    <w:p>
      <w:pPr>
        <w:widowControl/>
        <w:spacing w:line="360" w:lineRule="auto"/>
        <w:ind w:firstLine="480" w:firstLineChars="200"/>
        <w:jc w:val="left"/>
        <w:rPr>
          <w:rFonts w:ascii="宋体" w:hAnsi="宋体"/>
          <w:bCs/>
          <w:sz w:val="24"/>
          <w:szCs w:val="24"/>
        </w:rPr>
      </w:pPr>
      <w:r>
        <w:rPr>
          <w:rFonts w:hint="eastAsia" w:ascii="宋体" w:hAnsi="宋体"/>
          <w:bCs/>
          <w:sz w:val="24"/>
          <w:szCs w:val="24"/>
        </w:rPr>
        <w:t>在新文科建设大背景以及学校“数智化转型”新方向指导下，</w:t>
      </w:r>
      <w:bookmarkStart w:id="0" w:name="OLE_LINK3"/>
      <w:r>
        <w:rPr>
          <w:rFonts w:hint="eastAsia" w:ascii="宋体" w:hAnsi="宋体"/>
          <w:bCs/>
          <w:sz w:val="24"/>
          <w:szCs w:val="24"/>
        </w:rPr>
        <w:t>网络与新媒体微专业</w:t>
      </w:r>
      <w:bookmarkEnd w:id="0"/>
      <w:r>
        <w:rPr>
          <w:rFonts w:hint="eastAsia" w:ascii="宋体" w:hAnsi="宋体"/>
          <w:bCs/>
          <w:sz w:val="24"/>
          <w:szCs w:val="24"/>
        </w:rPr>
        <w:t>以培养适应新技术、新业态的学科交叉型人才为总体目标，</w:t>
      </w:r>
      <w:r>
        <w:rPr>
          <w:rFonts w:hint="eastAsia" w:ascii="宋体" w:hAnsi="宋体"/>
          <w:spacing w:val="-10"/>
          <w:sz w:val="24"/>
          <w:szCs w:val="24"/>
        </w:rPr>
        <w:t>培养学生运用新兴媒体技术对智媒时代新闻传播学领域涌现的新问题、新现象进行探索</w:t>
      </w:r>
      <w:r>
        <w:rPr>
          <w:rFonts w:hint="eastAsia" w:ascii="宋体" w:hAnsi="宋体"/>
          <w:bCs/>
          <w:sz w:val="24"/>
          <w:szCs w:val="24"/>
        </w:rPr>
        <w:t>。</w:t>
      </w:r>
      <w:bookmarkStart w:id="1" w:name="OLE_LINK1"/>
      <w:r>
        <w:rPr>
          <w:rFonts w:hint="eastAsia" w:ascii="宋体" w:hAnsi="宋体"/>
          <w:bCs/>
          <w:sz w:val="24"/>
          <w:szCs w:val="24"/>
        </w:rPr>
        <w:t>经过一年的微专业学习，</w:t>
      </w:r>
      <w:r>
        <w:rPr>
          <w:rFonts w:hint="eastAsia" w:ascii="宋体" w:hAnsi="宋体"/>
          <w:spacing w:val="-10"/>
          <w:sz w:val="24"/>
          <w:szCs w:val="24"/>
        </w:rPr>
        <w:t>学生在网络媒体研究、智能传播、社交媒体分析、新媒体广告、数字广告、智媒营销等</w:t>
      </w:r>
      <w:r>
        <w:rPr>
          <w:rFonts w:hint="eastAsia" w:ascii="宋体" w:hAnsi="宋体"/>
          <w:bCs/>
          <w:sz w:val="24"/>
          <w:szCs w:val="24"/>
        </w:rPr>
        <w:t>方面的专业素质和复合能力将得到全面提升，为今后的职业和学术发展开拓新的路径。</w:t>
      </w:r>
      <w:bookmarkEnd w:id="1"/>
    </w:p>
    <w:p>
      <w:pPr>
        <w:widowControl/>
        <w:spacing w:line="360" w:lineRule="auto"/>
        <w:ind w:firstLine="480" w:firstLineChars="200"/>
        <w:jc w:val="left"/>
        <w:rPr>
          <w:rFonts w:ascii="宋体" w:hAnsi="宋体"/>
          <w:bCs/>
          <w:sz w:val="24"/>
          <w:szCs w:val="24"/>
        </w:rPr>
      </w:pPr>
      <w:r>
        <w:rPr>
          <w:rFonts w:hint="eastAsia" w:ascii="宋体" w:hAnsi="宋体"/>
          <w:bCs/>
          <w:sz w:val="24"/>
          <w:szCs w:val="24"/>
        </w:rPr>
        <w:t>微专业培养过程中，学生将具备以下知识和能力：</w:t>
      </w:r>
    </w:p>
    <w:p>
      <w:pPr>
        <w:widowControl/>
        <w:spacing w:line="360" w:lineRule="auto"/>
        <w:ind w:firstLine="480" w:firstLineChars="200"/>
        <w:jc w:val="left"/>
        <w:rPr>
          <w:rFonts w:ascii="宋体" w:hAnsi="宋体"/>
          <w:bCs/>
          <w:sz w:val="24"/>
          <w:szCs w:val="24"/>
        </w:rPr>
      </w:pPr>
      <w:r>
        <w:rPr>
          <w:rFonts w:ascii="宋体" w:hAnsi="宋体"/>
          <w:bCs/>
          <w:sz w:val="24"/>
          <w:szCs w:val="24"/>
        </w:rPr>
        <w:t>1.</w:t>
      </w:r>
      <w:r>
        <w:rPr>
          <w:rFonts w:hint="eastAsia" w:ascii="宋体" w:hAnsi="宋体"/>
          <w:bCs/>
          <w:sz w:val="24"/>
          <w:szCs w:val="24"/>
        </w:rPr>
        <w:t>掌握网络与新媒体领域的基础理论知识，了解新媒体变革时代新闻传播学领域出现的新现象和新问题。</w:t>
      </w:r>
    </w:p>
    <w:p>
      <w:pPr>
        <w:widowControl/>
        <w:spacing w:line="360" w:lineRule="auto"/>
        <w:ind w:firstLine="480" w:firstLineChars="200"/>
        <w:jc w:val="left"/>
        <w:rPr>
          <w:rFonts w:ascii="宋体" w:hAnsi="宋体"/>
          <w:bCs/>
          <w:sz w:val="24"/>
          <w:szCs w:val="24"/>
        </w:rPr>
      </w:pPr>
      <w:r>
        <w:rPr>
          <w:rFonts w:ascii="宋体" w:hAnsi="宋体"/>
          <w:bCs/>
          <w:sz w:val="24"/>
          <w:szCs w:val="24"/>
        </w:rPr>
        <w:t>2.</w:t>
      </w:r>
      <w:r>
        <w:rPr>
          <w:rFonts w:hint="eastAsia" w:ascii="宋体" w:hAnsi="宋体"/>
          <w:bCs/>
          <w:sz w:val="24"/>
          <w:szCs w:val="24"/>
        </w:rPr>
        <w:t>经过实践类、技术类课程的训练，能熟练应用新技术进行新媒体内容生产、传播、运营等实操技能，满足智媒时代对新型传播人才的基本要求。</w:t>
      </w:r>
    </w:p>
    <w:p>
      <w:pPr>
        <w:spacing w:before="156" w:before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二、毕业要求</w:t>
      </w:r>
    </w:p>
    <w:p>
      <w:pPr>
        <w:widowControl/>
        <w:spacing w:line="360" w:lineRule="auto"/>
        <w:ind w:firstLine="480" w:firstLineChars="200"/>
        <w:jc w:val="left"/>
        <w:rPr>
          <w:rFonts w:ascii="宋体" w:hAnsi="宋体"/>
          <w:bCs/>
          <w:sz w:val="24"/>
          <w:szCs w:val="24"/>
        </w:rPr>
      </w:pPr>
      <w:r>
        <w:rPr>
          <w:rFonts w:hint="eastAsia" w:ascii="宋体" w:hAnsi="宋体"/>
          <w:bCs/>
          <w:sz w:val="24"/>
          <w:szCs w:val="24"/>
        </w:rPr>
        <w:t>微专业独立开班，学制一年，共6门课程，</w:t>
      </w:r>
      <w:r>
        <w:rPr>
          <w:rFonts w:ascii="宋体" w:hAnsi="宋体"/>
          <w:bCs/>
          <w:sz w:val="24"/>
          <w:szCs w:val="24"/>
        </w:rPr>
        <w:t>学生在本科毕业或结业离校前，修完微专业培养方案规定的</w:t>
      </w:r>
      <w:r>
        <w:rPr>
          <w:rFonts w:hint="eastAsia" w:ascii="宋体" w:hAnsi="宋体"/>
          <w:bCs/>
          <w:sz w:val="24"/>
          <w:szCs w:val="24"/>
        </w:rPr>
        <w:t>所有</w:t>
      </w:r>
      <w:r>
        <w:rPr>
          <w:rFonts w:ascii="宋体" w:hAnsi="宋体"/>
          <w:bCs/>
          <w:sz w:val="24"/>
          <w:szCs w:val="24"/>
        </w:rPr>
        <w:t>课程，且成绩全部合格的，</w:t>
      </w:r>
      <w:r>
        <w:rPr>
          <w:rFonts w:hint="eastAsia" w:ascii="宋体" w:hAnsi="宋体"/>
          <w:bCs/>
          <w:sz w:val="24"/>
          <w:szCs w:val="24"/>
        </w:rPr>
        <w:t>将取得学校颁发的</w:t>
      </w:r>
      <w:r>
        <w:rPr>
          <w:rFonts w:ascii="宋体" w:hAnsi="宋体"/>
          <w:bCs/>
          <w:sz w:val="24"/>
          <w:szCs w:val="24"/>
        </w:rPr>
        <w:t>微专业合格证书</w:t>
      </w:r>
      <w:r>
        <w:rPr>
          <w:rFonts w:hint="eastAsia" w:ascii="宋体" w:hAnsi="宋体"/>
          <w:bCs/>
          <w:sz w:val="24"/>
          <w:szCs w:val="24"/>
        </w:rPr>
        <w:t>。</w:t>
      </w:r>
    </w:p>
    <w:p>
      <w:pPr>
        <w:spacing w:before="156" w:before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三、招生对象与条件</w:t>
      </w:r>
    </w:p>
    <w:p>
      <w:pPr>
        <w:widowControl/>
        <w:spacing w:line="360" w:lineRule="auto"/>
        <w:ind w:firstLine="480" w:firstLineChars="200"/>
        <w:jc w:val="left"/>
        <w:rPr>
          <w:rFonts w:ascii="宋体" w:hAnsi="宋体"/>
          <w:bCs/>
          <w:sz w:val="24"/>
          <w:szCs w:val="24"/>
        </w:rPr>
      </w:pPr>
      <w:r>
        <w:rPr>
          <w:rFonts w:hint="eastAsia" w:ascii="宋体" w:hAnsi="宋体"/>
          <w:bCs/>
          <w:sz w:val="24"/>
          <w:szCs w:val="24"/>
        </w:rPr>
        <w:t>微专业面向全校大一至大三年级的全日制本科生，招生人数控制在5</w:t>
      </w:r>
      <w:r>
        <w:rPr>
          <w:rFonts w:ascii="宋体" w:hAnsi="宋体"/>
          <w:bCs/>
          <w:sz w:val="24"/>
          <w:szCs w:val="24"/>
        </w:rPr>
        <w:t>0</w:t>
      </w:r>
      <w:r>
        <w:rPr>
          <w:rFonts w:hint="eastAsia" w:ascii="宋体" w:hAnsi="宋体"/>
          <w:bCs/>
          <w:sz w:val="24"/>
          <w:szCs w:val="24"/>
        </w:rPr>
        <w:t>人左右，报名人数较多时，将以面试方式进行择优录取。具体报名条件如下：</w:t>
      </w:r>
    </w:p>
    <w:p>
      <w:pPr>
        <w:widowControl/>
        <w:spacing w:line="360" w:lineRule="auto"/>
        <w:ind w:firstLine="480" w:firstLineChars="200"/>
        <w:jc w:val="left"/>
        <w:rPr>
          <w:rFonts w:ascii="宋体" w:hAnsi="宋体"/>
          <w:bCs/>
          <w:sz w:val="24"/>
          <w:szCs w:val="24"/>
        </w:rPr>
      </w:pPr>
      <w:r>
        <w:rPr>
          <w:rFonts w:ascii="宋体" w:hAnsi="宋体"/>
          <w:bCs/>
          <w:sz w:val="24"/>
          <w:szCs w:val="24"/>
        </w:rPr>
        <w:t>1.</w:t>
      </w:r>
      <w:r>
        <w:rPr>
          <w:rFonts w:hint="eastAsia" w:ascii="宋体" w:hAnsi="宋体"/>
          <w:bCs/>
          <w:sz w:val="24"/>
          <w:szCs w:val="24"/>
        </w:rPr>
        <w:t>德智体美劳全面发展；</w:t>
      </w:r>
    </w:p>
    <w:p>
      <w:pPr>
        <w:widowControl/>
        <w:spacing w:line="360" w:lineRule="auto"/>
        <w:ind w:firstLine="480" w:firstLineChars="200"/>
        <w:jc w:val="left"/>
        <w:rPr>
          <w:rFonts w:ascii="宋体" w:hAnsi="宋体"/>
          <w:bCs/>
          <w:sz w:val="24"/>
          <w:szCs w:val="24"/>
        </w:rPr>
      </w:pPr>
      <w:r>
        <w:rPr>
          <w:rFonts w:ascii="宋体" w:hAnsi="宋体"/>
          <w:bCs/>
          <w:sz w:val="24"/>
          <w:szCs w:val="24"/>
        </w:rPr>
        <w:t>2.</w:t>
      </w:r>
      <w:r>
        <w:rPr>
          <w:rFonts w:hint="eastAsia" w:ascii="宋体" w:hAnsi="宋体"/>
          <w:bCs/>
          <w:sz w:val="24"/>
          <w:szCs w:val="24"/>
        </w:rPr>
        <w:t>能完成主修专业学习任务，主修专业全部必修课程及格（重修重考及格课程视为及格），学有余力；</w:t>
      </w:r>
    </w:p>
    <w:p>
      <w:pPr>
        <w:widowControl/>
        <w:spacing w:line="360" w:lineRule="auto"/>
        <w:ind w:firstLine="480" w:firstLineChars="200"/>
        <w:jc w:val="left"/>
        <w:rPr>
          <w:rFonts w:ascii="宋体" w:hAnsi="宋体"/>
          <w:bCs/>
          <w:sz w:val="24"/>
          <w:szCs w:val="24"/>
        </w:rPr>
      </w:pPr>
      <w:r>
        <w:rPr>
          <w:rFonts w:ascii="宋体" w:hAnsi="宋体"/>
          <w:bCs/>
          <w:sz w:val="24"/>
          <w:szCs w:val="24"/>
        </w:rPr>
        <w:t>3.</w:t>
      </w:r>
      <w:r>
        <w:rPr>
          <w:rFonts w:hint="eastAsia" w:ascii="宋体" w:hAnsi="宋体"/>
          <w:bCs/>
          <w:sz w:val="24"/>
          <w:szCs w:val="24"/>
        </w:rPr>
        <w:t>对网络与新媒体微专业学习充满热情。</w:t>
      </w:r>
    </w:p>
    <w:p>
      <w:pPr>
        <w:spacing w:before="156" w:beforeLines="50" w:after="100" w:afterAutospacing="1"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四、学分与证书</w:t>
      </w:r>
    </w:p>
    <w:p>
      <w:pPr>
        <w:spacing w:before="156" w:beforeLines="50" w:line="480" w:lineRule="exact"/>
        <w:ind w:firstLine="480" w:firstLineChars="200"/>
        <w:rPr>
          <w:rFonts w:ascii="黑体" w:hAnsi="黑体" w:eastAsia="黑体" w:cs="黑体"/>
          <w:bCs/>
          <w:sz w:val="28"/>
          <w:szCs w:val="28"/>
        </w:rPr>
      </w:pPr>
      <w:bookmarkStart w:id="2" w:name="OLE_LINK2"/>
      <w:r>
        <w:rPr>
          <w:rFonts w:hint="eastAsia" w:ascii="宋体" w:hAnsi="宋体"/>
          <w:bCs/>
          <w:sz w:val="24"/>
          <w:szCs w:val="24"/>
        </w:rPr>
        <w:t>微专业共6门课程，每门课程2学分，共计1</w:t>
      </w:r>
      <w:r>
        <w:rPr>
          <w:rFonts w:ascii="宋体" w:hAnsi="宋体"/>
          <w:bCs/>
          <w:sz w:val="24"/>
          <w:szCs w:val="24"/>
        </w:rPr>
        <w:t>2</w:t>
      </w:r>
      <w:r>
        <w:rPr>
          <w:rFonts w:hint="eastAsia" w:ascii="宋体" w:hAnsi="宋体"/>
          <w:bCs/>
          <w:sz w:val="24"/>
          <w:szCs w:val="24"/>
        </w:rPr>
        <w:t>学分</w:t>
      </w:r>
      <w:bookmarkEnd w:id="2"/>
      <w:r>
        <w:rPr>
          <w:rFonts w:hint="eastAsia" w:ascii="宋体" w:hAnsi="宋体"/>
          <w:bCs/>
          <w:sz w:val="24"/>
          <w:szCs w:val="24"/>
        </w:rPr>
        <w:t>。春季学期和秋季学期分别开设三门课程。学生</w:t>
      </w:r>
      <w:r>
        <w:rPr>
          <w:rFonts w:ascii="宋体" w:hAnsi="宋体"/>
          <w:bCs/>
          <w:sz w:val="24"/>
          <w:szCs w:val="24"/>
        </w:rPr>
        <w:t>修完微专业培养方案规定的</w:t>
      </w:r>
      <w:r>
        <w:rPr>
          <w:rFonts w:hint="eastAsia" w:ascii="宋体" w:hAnsi="宋体"/>
          <w:bCs/>
          <w:sz w:val="24"/>
          <w:szCs w:val="24"/>
        </w:rPr>
        <w:t>所有</w:t>
      </w:r>
      <w:r>
        <w:rPr>
          <w:rFonts w:ascii="宋体" w:hAnsi="宋体"/>
          <w:bCs/>
          <w:sz w:val="24"/>
          <w:szCs w:val="24"/>
        </w:rPr>
        <w:t>课程，且成绩全部合格的，</w:t>
      </w:r>
      <w:r>
        <w:rPr>
          <w:rFonts w:hint="eastAsia" w:ascii="宋体" w:hAnsi="宋体"/>
          <w:bCs/>
          <w:sz w:val="24"/>
          <w:szCs w:val="24"/>
        </w:rPr>
        <w:t>将取得学校颁发的</w:t>
      </w:r>
      <w:r>
        <w:rPr>
          <w:rFonts w:ascii="宋体" w:hAnsi="宋体"/>
          <w:bCs/>
          <w:sz w:val="24"/>
          <w:szCs w:val="24"/>
        </w:rPr>
        <w:t>微专业合格证书</w:t>
      </w:r>
      <w:r>
        <w:rPr>
          <w:rFonts w:hint="eastAsia" w:ascii="宋体" w:hAnsi="宋体"/>
          <w:bCs/>
          <w:sz w:val="24"/>
          <w:szCs w:val="24"/>
        </w:rPr>
        <w:t>。</w:t>
      </w:r>
    </w:p>
    <w:p>
      <w:pPr>
        <w:widowControl/>
        <w:spacing w:line="360" w:lineRule="auto"/>
        <w:ind w:firstLine="480" w:firstLineChars="200"/>
        <w:jc w:val="left"/>
        <w:rPr>
          <w:rFonts w:ascii="宋体" w:hAnsi="宋体"/>
          <w:bCs/>
          <w:sz w:val="24"/>
          <w:szCs w:val="24"/>
        </w:rPr>
      </w:pPr>
      <w:r>
        <w:rPr>
          <w:rFonts w:hint="eastAsia" w:ascii="宋体" w:hAnsi="宋体"/>
          <w:bCs/>
          <w:sz w:val="24"/>
          <w:szCs w:val="24"/>
        </w:rPr>
        <w:t>同时，</w:t>
      </w:r>
      <w:bookmarkStart w:id="3" w:name="OLE_LINK5"/>
      <w:bookmarkStart w:id="4" w:name="OLE_LINK4"/>
      <w:r>
        <w:rPr>
          <w:rFonts w:hint="eastAsia" w:ascii="宋体" w:hAnsi="宋体"/>
          <w:bCs/>
          <w:sz w:val="24"/>
          <w:szCs w:val="24"/>
        </w:rPr>
        <w:t>修完《新媒体广告全景》课程并考试合格的学生，将取得抖音集团巨量引擎平台颁发的数字营销职业能力认证证书，该认证证书为“一岗双认”模式，在获得平台认证的同时获北京人社部门职业技能等级认定。</w:t>
      </w:r>
    </w:p>
    <w:p>
      <w:pPr>
        <w:widowControl/>
        <w:spacing w:line="360" w:lineRule="auto"/>
        <w:ind w:firstLine="480" w:firstLineChars="200"/>
        <w:jc w:val="left"/>
        <w:rPr>
          <w:rFonts w:ascii="宋体" w:hAnsi="宋体"/>
          <w:bCs/>
          <w:sz w:val="24"/>
          <w:szCs w:val="24"/>
        </w:rPr>
      </w:pPr>
      <w:r>
        <w:rPr>
          <w:rFonts w:hint="eastAsia" w:ascii="宋体" w:hAnsi="宋体"/>
          <w:bCs/>
          <w:sz w:val="24"/>
          <w:szCs w:val="24"/>
        </w:rPr>
        <w:t>《智媒广告与营销实战》课程中的优秀学员作品，选送参加由中国广告协会指导、南方都市报社主办的未来金理奖·全国大学生IMC（整合营销传播）</w:t>
      </w:r>
      <w:r>
        <w:rPr>
          <w:rFonts w:hint="eastAsia" w:ascii="宋体" w:hAnsi="宋体"/>
          <w:bCs/>
          <w:color w:val="FF0000"/>
          <w:sz w:val="24"/>
          <w:szCs w:val="24"/>
        </w:rPr>
        <w:t>等</w:t>
      </w:r>
      <w:r>
        <w:rPr>
          <w:rFonts w:hint="eastAsia" w:ascii="宋体" w:hAnsi="宋体"/>
          <w:bCs/>
          <w:sz w:val="24"/>
          <w:szCs w:val="24"/>
        </w:rPr>
        <w:t>大赛。</w:t>
      </w:r>
    </w:p>
    <w:p>
      <w:pPr>
        <w:widowControl/>
        <w:tabs>
          <w:tab w:val="left" w:pos="720"/>
        </w:tabs>
        <w:spacing w:line="360" w:lineRule="auto"/>
        <w:ind w:firstLine="480" w:firstLineChars="200"/>
        <w:jc w:val="left"/>
        <w:rPr>
          <w:rFonts w:ascii="宋体" w:hAnsi="宋体"/>
          <w:bCs/>
          <w:sz w:val="24"/>
          <w:szCs w:val="24"/>
        </w:rPr>
      </w:pPr>
      <w:r>
        <w:rPr>
          <w:rFonts w:hint="eastAsia" w:ascii="宋体" w:hAnsi="宋体"/>
          <w:bCs/>
          <w:sz w:val="24"/>
          <w:szCs w:val="24"/>
        </w:rPr>
        <w:t>《</w:t>
      </w:r>
      <w:r>
        <w:rPr>
          <w:rFonts w:ascii="宋体" w:hAnsi="宋体"/>
          <w:bCs/>
          <w:sz w:val="24"/>
          <w:szCs w:val="24"/>
        </w:rPr>
        <w:t>AIGC</w:t>
      </w:r>
      <w:r>
        <w:rPr>
          <w:rFonts w:hint="eastAsia" w:ascii="宋体" w:hAnsi="宋体"/>
          <w:bCs/>
          <w:sz w:val="24"/>
          <w:szCs w:val="24"/>
        </w:rPr>
        <w:t>视觉创意与未来设计思维</w:t>
      </w:r>
      <w:r>
        <w:rPr>
          <w:rFonts w:ascii="宋体" w:hAnsi="宋体"/>
          <w:bCs/>
          <w:sz w:val="24"/>
          <w:szCs w:val="24"/>
        </w:rPr>
        <w:t xml:space="preserve"> </w:t>
      </w:r>
      <w:r>
        <w:rPr>
          <w:rFonts w:hint="eastAsia" w:ascii="宋体" w:hAnsi="宋体"/>
          <w:bCs/>
          <w:sz w:val="24"/>
          <w:szCs w:val="24"/>
        </w:rPr>
        <w:t>》课程中的作品，参与中经网公益广告展。</w:t>
      </w:r>
    </w:p>
    <w:p>
      <w:pPr>
        <w:widowControl/>
        <w:tabs>
          <w:tab w:val="left" w:pos="720"/>
        </w:tabs>
        <w:spacing w:line="360" w:lineRule="auto"/>
        <w:ind w:firstLine="480" w:firstLineChars="200"/>
        <w:jc w:val="left"/>
        <w:rPr>
          <w:rFonts w:ascii="宋体" w:hAnsi="宋体"/>
          <w:bCs/>
          <w:sz w:val="24"/>
          <w:szCs w:val="24"/>
          <w:lang w:val="zh-CN"/>
        </w:rPr>
      </w:pPr>
      <w:r>
        <w:rPr>
          <w:rFonts w:hint="eastAsia" w:ascii="宋体" w:hAnsi="宋体"/>
          <w:bCs/>
          <w:sz w:val="24"/>
          <w:szCs w:val="24"/>
        </w:rPr>
        <w:t>《</w:t>
      </w:r>
      <w:r>
        <w:rPr>
          <w:rFonts w:hint="eastAsia" w:ascii="宋体" w:hAnsi="宋体"/>
          <w:bCs/>
          <w:sz w:val="24"/>
          <w:szCs w:val="24"/>
          <w:lang w:val="zh-CN"/>
        </w:rPr>
        <w:t>未来媒体与智能传播</w:t>
      </w:r>
      <w:r>
        <w:rPr>
          <w:rFonts w:hint="eastAsia" w:ascii="宋体" w:hAnsi="宋体"/>
          <w:bCs/>
          <w:sz w:val="24"/>
          <w:szCs w:val="24"/>
        </w:rPr>
        <w:t>》课程，参与</w:t>
      </w:r>
      <w:r>
        <w:rPr>
          <w:rFonts w:hint="eastAsia" w:ascii="宋体" w:hAnsi="宋体"/>
          <w:bCs/>
          <w:sz w:val="24"/>
          <w:szCs w:val="24"/>
          <w:lang w:val="zh-CN"/>
        </w:rPr>
        <w:t>开发中经网未来媒体实验室线上产品。</w:t>
      </w:r>
    </w:p>
    <w:p>
      <w:pPr>
        <w:widowControl/>
        <w:tabs>
          <w:tab w:val="left" w:pos="720"/>
        </w:tabs>
        <w:spacing w:line="360" w:lineRule="auto"/>
        <w:ind w:firstLine="480" w:firstLineChars="200"/>
        <w:jc w:val="left"/>
        <w:rPr>
          <w:rFonts w:ascii="宋体" w:hAnsi="宋体"/>
          <w:bCs/>
          <w:sz w:val="24"/>
          <w:szCs w:val="24"/>
          <w:lang w:val="zh-CN"/>
        </w:rPr>
      </w:pPr>
    </w:p>
    <w:bookmarkEnd w:id="3"/>
    <w:bookmarkEnd w:id="4"/>
    <w:p>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五、课程设置</w:t>
      </w:r>
    </w:p>
    <w:p>
      <w:pPr>
        <w:widowControl/>
        <w:spacing w:after="156" w:line="0" w:lineRule="atLeast"/>
        <w:jc w:val="center"/>
        <w:rPr>
          <w:rFonts w:ascii="黑体" w:hAnsi="黑体" w:eastAsia="黑体" w:cs="黑体"/>
          <w:bCs/>
          <w:sz w:val="28"/>
          <w:szCs w:val="28"/>
        </w:rPr>
      </w:pPr>
      <w:r>
        <w:rPr>
          <w:rFonts w:hint="eastAsia" w:ascii="黑体" w:hAnsi="黑体" w:eastAsia="黑体" w:cs="黑体"/>
          <w:bCs/>
          <w:sz w:val="28"/>
          <w:szCs w:val="28"/>
        </w:rPr>
        <w:t>网络与新媒体微专业课程设置及教学进程计划表</w:t>
      </w:r>
    </w:p>
    <w:tbl>
      <w:tblPr>
        <w:tblStyle w:val="6"/>
        <w:tblW w:w="10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439"/>
        <w:gridCol w:w="641"/>
        <w:gridCol w:w="764"/>
        <w:gridCol w:w="791"/>
        <w:gridCol w:w="736"/>
        <w:gridCol w:w="723"/>
        <w:gridCol w:w="730"/>
        <w:gridCol w:w="780"/>
        <w:gridCol w:w="1334"/>
        <w:gridCol w:w="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8" w:type="dxa"/>
            <w:vMerge w:val="restart"/>
            <w:tcBorders>
              <w:bottom w:val="single" w:color="auto" w:sz="4" w:space="0"/>
            </w:tcBorders>
            <w:vAlign w:val="center"/>
          </w:tcPr>
          <w:p>
            <w:pPr>
              <w:widowControl/>
              <w:jc w:val="center"/>
              <w:rPr>
                <w:rFonts w:ascii="黑体" w:hAnsi="黑体" w:eastAsia="黑体"/>
                <w:bCs/>
                <w:color w:val="auto"/>
                <w:spacing w:val="20"/>
                <w:sz w:val="18"/>
                <w:szCs w:val="18"/>
              </w:rPr>
            </w:pPr>
            <w:r>
              <w:rPr>
                <w:rFonts w:hint="eastAsia" w:ascii="黑体" w:hAnsi="黑体" w:eastAsia="黑体"/>
                <w:bCs/>
                <w:color w:val="auto"/>
                <w:sz w:val="18"/>
                <w:szCs w:val="18"/>
              </w:rPr>
              <w:t>课程名称</w:t>
            </w:r>
          </w:p>
        </w:tc>
        <w:tc>
          <w:tcPr>
            <w:tcW w:w="1439" w:type="dxa"/>
            <w:vMerge w:val="restart"/>
            <w:vAlign w:val="center"/>
          </w:tcPr>
          <w:p>
            <w:pPr>
              <w:widowControl/>
              <w:jc w:val="center"/>
              <w:rPr>
                <w:rFonts w:ascii="黑体" w:hAnsi="黑体" w:eastAsia="黑体"/>
                <w:bCs/>
                <w:color w:val="auto"/>
                <w:sz w:val="18"/>
                <w:szCs w:val="18"/>
              </w:rPr>
            </w:pPr>
            <w:r>
              <w:rPr>
                <w:rFonts w:hint="eastAsia" w:ascii="黑体" w:hAnsi="黑体" w:eastAsia="黑体"/>
                <w:bCs/>
                <w:color w:val="auto"/>
                <w:sz w:val="18"/>
                <w:szCs w:val="18"/>
              </w:rPr>
              <w:t>课程代码</w:t>
            </w:r>
          </w:p>
        </w:tc>
        <w:tc>
          <w:tcPr>
            <w:tcW w:w="641" w:type="dxa"/>
            <w:vMerge w:val="restart"/>
            <w:tcBorders>
              <w:bottom w:val="single" w:color="auto" w:sz="4" w:space="0"/>
            </w:tcBorders>
            <w:vAlign w:val="center"/>
          </w:tcPr>
          <w:p>
            <w:pPr>
              <w:widowControl/>
              <w:jc w:val="center"/>
              <w:rPr>
                <w:rFonts w:ascii="黑体" w:hAnsi="黑体" w:eastAsia="黑体"/>
                <w:bCs/>
                <w:color w:val="auto"/>
                <w:spacing w:val="20"/>
                <w:sz w:val="18"/>
                <w:szCs w:val="18"/>
              </w:rPr>
            </w:pPr>
            <w:r>
              <w:rPr>
                <w:rFonts w:hint="eastAsia" w:ascii="黑体" w:hAnsi="黑体" w:eastAsia="黑体"/>
                <w:bCs/>
                <w:color w:val="auto"/>
                <w:sz w:val="18"/>
                <w:szCs w:val="18"/>
              </w:rPr>
              <w:t>学分</w:t>
            </w:r>
          </w:p>
        </w:tc>
        <w:tc>
          <w:tcPr>
            <w:tcW w:w="764" w:type="dxa"/>
            <w:vMerge w:val="restart"/>
            <w:vAlign w:val="center"/>
          </w:tcPr>
          <w:p>
            <w:pPr>
              <w:widowControl/>
              <w:jc w:val="center"/>
              <w:rPr>
                <w:rFonts w:ascii="黑体" w:hAnsi="黑体" w:eastAsia="黑体"/>
                <w:bCs/>
                <w:color w:val="auto"/>
                <w:sz w:val="18"/>
                <w:szCs w:val="18"/>
              </w:rPr>
            </w:pPr>
            <w:r>
              <w:rPr>
                <w:rFonts w:ascii="黑体" w:hAnsi="黑体" w:eastAsia="黑体"/>
                <w:bCs/>
                <w:color w:val="auto"/>
                <w:sz w:val="18"/>
              </w:rPr>
              <w:t>总学时</w:t>
            </w:r>
          </w:p>
        </w:tc>
        <w:tc>
          <w:tcPr>
            <w:tcW w:w="2980" w:type="dxa"/>
            <w:gridSpan w:val="4"/>
            <w:tcBorders>
              <w:bottom w:val="single" w:color="auto" w:sz="4" w:space="0"/>
            </w:tcBorders>
            <w:vAlign w:val="center"/>
          </w:tcPr>
          <w:p>
            <w:pPr>
              <w:widowControl/>
              <w:jc w:val="center"/>
              <w:rPr>
                <w:rFonts w:ascii="黑体" w:hAnsi="黑体" w:eastAsia="黑体"/>
                <w:bCs/>
                <w:color w:val="auto"/>
                <w:spacing w:val="20"/>
                <w:sz w:val="18"/>
                <w:szCs w:val="18"/>
              </w:rPr>
            </w:pPr>
            <w:r>
              <w:rPr>
                <w:rFonts w:ascii="黑体" w:hAnsi="黑体" w:eastAsia="黑体"/>
                <w:bCs/>
                <w:color w:val="auto"/>
                <w:spacing w:val="75"/>
                <w:kern w:val="0"/>
                <w:sz w:val="18"/>
                <w:szCs w:val="18"/>
                <w:fitText w:val="840" w:id="1307458760"/>
              </w:rPr>
              <w:t>学时</w:t>
            </w:r>
            <w:r>
              <w:rPr>
                <w:rFonts w:hint="eastAsia" w:ascii="黑体" w:hAnsi="黑体" w:eastAsia="黑体"/>
                <w:bCs/>
                <w:color w:val="auto"/>
                <w:spacing w:val="0"/>
                <w:kern w:val="0"/>
                <w:sz w:val="18"/>
                <w:szCs w:val="18"/>
                <w:fitText w:val="840" w:id="1307458760"/>
              </w:rPr>
              <w:t>分</w:t>
            </w:r>
            <w:r>
              <w:rPr>
                <w:rFonts w:hint="eastAsia" w:ascii="黑体" w:hAnsi="黑体" w:eastAsia="黑体"/>
                <w:bCs/>
                <w:color w:val="auto"/>
                <w:sz w:val="18"/>
                <w:szCs w:val="18"/>
              </w:rPr>
              <w:t xml:space="preserve"> 配</w:t>
            </w:r>
          </w:p>
        </w:tc>
        <w:tc>
          <w:tcPr>
            <w:tcW w:w="780" w:type="dxa"/>
            <w:vMerge w:val="restart"/>
            <w:tcBorders>
              <w:bottom w:val="single" w:color="auto" w:sz="4" w:space="0"/>
            </w:tcBorders>
            <w:vAlign w:val="center"/>
          </w:tcPr>
          <w:p>
            <w:pPr>
              <w:widowControl/>
              <w:snapToGrid w:val="0"/>
              <w:jc w:val="center"/>
              <w:rPr>
                <w:rFonts w:ascii="黑体" w:hAnsi="黑体" w:eastAsia="黑体"/>
                <w:bCs/>
                <w:color w:val="auto"/>
                <w:sz w:val="18"/>
                <w:szCs w:val="18"/>
              </w:rPr>
            </w:pPr>
            <w:r>
              <w:rPr>
                <w:rFonts w:hint="eastAsia" w:ascii="黑体" w:hAnsi="黑体" w:eastAsia="黑体"/>
                <w:bCs/>
                <w:color w:val="auto"/>
                <w:sz w:val="18"/>
                <w:szCs w:val="18"/>
              </w:rPr>
              <w:t>考核</w:t>
            </w:r>
          </w:p>
          <w:p>
            <w:pPr>
              <w:widowControl/>
              <w:jc w:val="center"/>
              <w:rPr>
                <w:rFonts w:ascii="黑体" w:hAnsi="黑体" w:eastAsia="黑体"/>
                <w:bCs/>
                <w:color w:val="auto"/>
                <w:spacing w:val="20"/>
                <w:sz w:val="18"/>
                <w:szCs w:val="18"/>
              </w:rPr>
            </w:pPr>
            <w:r>
              <w:rPr>
                <w:rFonts w:hint="eastAsia" w:ascii="黑体" w:hAnsi="黑体" w:eastAsia="黑体"/>
                <w:bCs/>
                <w:color w:val="auto"/>
                <w:sz w:val="18"/>
                <w:szCs w:val="18"/>
              </w:rPr>
              <w:t>方式</w:t>
            </w:r>
          </w:p>
        </w:tc>
        <w:tc>
          <w:tcPr>
            <w:tcW w:w="1334" w:type="dxa"/>
            <w:vMerge w:val="restart"/>
            <w:tcBorders>
              <w:bottom w:val="single" w:color="auto" w:sz="4" w:space="0"/>
            </w:tcBorders>
            <w:vAlign w:val="center"/>
          </w:tcPr>
          <w:p>
            <w:pPr>
              <w:widowControl/>
              <w:jc w:val="center"/>
              <w:rPr>
                <w:rFonts w:ascii="黑体" w:hAnsi="黑体" w:eastAsia="黑体"/>
                <w:bCs/>
                <w:color w:val="auto"/>
                <w:spacing w:val="20"/>
                <w:sz w:val="18"/>
                <w:szCs w:val="18"/>
              </w:rPr>
            </w:pPr>
            <w:r>
              <w:rPr>
                <w:rFonts w:hint="eastAsia" w:ascii="黑体" w:hAnsi="黑体" w:eastAsia="黑体"/>
                <w:bCs/>
                <w:color w:val="auto"/>
                <w:spacing w:val="20"/>
                <w:sz w:val="18"/>
                <w:szCs w:val="18"/>
              </w:rPr>
              <w:t>开课单位</w:t>
            </w:r>
          </w:p>
        </w:tc>
        <w:tc>
          <w:tcPr>
            <w:tcW w:w="734" w:type="dxa"/>
            <w:vMerge w:val="restart"/>
            <w:tcBorders>
              <w:bottom w:val="single" w:color="auto" w:sz="4" w:space="0"/>
            </w:tcBorders>
            <w:vAlign w:val="center"/>
          </w:tcPr>
          <w:p>
            <w:pPr>
              <w:widowControl/>
              <w:snapToGrid w:val="0"/>
              <w:jc w:val="center"/>
              <w:rPr>
                <w:rFonts w:ascii="黑体" w:hAnsi="黑体" w:eastAsia="黑体"/>
                <w:bCs/>
                <w:color w:val="auto"/>
                <w:sz w:val="18"/>
                <w:szCs w:val="18"/>
              </w:rPr>
            </w:pPr>
            <w:r>
              <w:rPr>
                <w:rFonts w:ascii="黑体" w:hAnsi="黑体" w:eastAsia="黑体"/>
                <w:bCs/>
                <w:color w:val="auto"/>
                <w:sz w:val="18"/>
                <w:szCs w:val="18"/>
              </w:rPr>
              <w:t>开课</w:t>
            </w:r>
          </w:p>
          <w:p>
            <w:pPr>
              <w:widowControl/>
              <w:jc w:val="center"/>
              <w:rPr>
                <w:rFonts w:ascii="黑体" w:hAnsi="黑体" w:eastAsia="黑体"/>
                <w:bCs/>
                <w:color w:val="auto"/>
                <w:spacing w:val="20"/>
                <w:sz w:val="18"/>
                <w:szCs w:val="18"/>
              </w:rPr>
            </w:pPr>
            <w:r>
              <w:rPr>
                <w:rFonts w:hint="eastAsia" w:ascii="黑体" w:hAnsi="黑体" w:eastAsia="黑体"/>
                <w:bCs/>
                <w:color w:val="auto"/>
                <w:sz w:val="18"/>
                <w:szCs w:val="1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8" w:type="dxa"/>
            <w:vMerge w:val="continue"/>
            <w:vAlign w:val="center"/>
          </w:tcPr>
          <w:p>
            <w:pPr>
              <w:widowControl/>
              <w:jc w:val="center"/>
              <w:rPr>
                <w:rFonts w:ascii="仿宋" w:hAnsi="仿宋" w:eastAsia="仿宋"/>
                <w:b/>
                <w:color w:val="auto"/>
                <w:spacing w:val="20"/>
                <w:sz w:val="21"/>
                <w:szCs w:val="21"/>
              </w:rPr>
            </w:pPr>
          </w:p>
        </w:tc>
        <w:tc>
          <w:tcPr>
            <w:tcW w:w="1439" w:type="dxa"/>
            <w:vMerge w:val="continue"/>
            <w:vAlign w:val="center"/>
          </w:tcPr>
          <w:p>
            <w:pPr>
              <w:widowControl/>
              <w:jc w:val="center"/>
              <w:rPr>
                <w:rFonts w:ascii="仿宋" w:hAnsi="仿宋" w:eastAsia="仿宋"/>
                <w:b/>
                <w:color w:val="auto"/>
                <w:spacing w:val="20"/>
                <w:sz w:val="21"/>
                <w:szCs w:val="21"/>
              </w:rPr>
            </w:pPr>
          </w:p>
        </w:tc>
        <w:tc>
          <w:tcPr>
            <w:tcW w:w="641" w:type="dxa"/>
            <w:vMerge w:val="continue"/>
            <w:vAlign w:val="center"/>
          </w:tcPr>
          <w:p>
            <w:pPr>
              <w:widowControl/>
              <w:jc w:val="center"/>
              <w:rPr>
                <w:rFonts w:ascii="仿宋" w:hAnsi="仿宋" w:eastAsia="仿宋"/>
                <w:b/>
                <w:color w:val="auto"/>
                <w:spacing w:val="20"/>
                <w:sz w:val="21"/>
                <w:szCs w:val="21"/>
              </w:rPr>
            </w:pPr>
          </w:p>
        </w:tc>
        <w:tc>
          <w:tcPr>
            <w:tcW w:w="764" w:type="dxa"/>
            <w:vMerge w:val="continue"/>
            <w:vAlign w:val="center"/>
          </w:tcPr>
          <w:p>
            <w:pPr>
              <w:widowControl/>
              <w:jc w:val="center"/>
              <w:rPr>
                <w:rFonts w:ascii="仿宋" w:hAnsi="仿宋" w:eastAsia="仿宋"/>
                <w:b/>
                <w:color w:val="auto"/>
                <w:spacing w:val="20"/>
                <w:sz w:val="21"/>
                <w:szCs w:val="21"/>
              </w:rPr>
            </w:pPr>
          </w:p>
        </w:tc>
        <w:tc>
          <w:tcPr>
            <w:tcW w:w="791" w:type="dxa"/>
            <w:vAlign w:val="center"/>
          </w:tcPr>
          <w:p>
            <w:pPr>
              <w:widowControl/>
              <w:jc w:val="center"/>
              <w:rPr>
                <w:rFonts w:ascii="黑体" w:hAnsi="黑体" w:eastAsia="黑体"/>
                <w:bCs/>
                <w:color w:val="auto"/>
                <w:spacing w:val="20"/>
                <w:sz w:val="21"/>
                <w:szCs w:val="21"/>
              </w:rPr>
            </w:pPr>
            <w:r>
              <w:rPr>
                <w:rFonts w:hint="eastAsia" w:ascii="黑体" w:hAnsi="黑体" w:eastAsia="黑体"/>
                <w:bCs/>
                <w:color w:val="auto"/>
                <w:sz w:val="18"/>
              </w:rPr>
              <w:t>理论</w:t>
            </w:r>
          </w:p>
        </w:tc>
        <w:tc>
          <w:tcPr>
            <w:tcW w:w="736" w:type="dxa"/>
            <w:vAlign w:val="center"/>
          </w:tcPr>
          <w:p>
            <w:pPr>
              <w:widowControl/>
              <w:jc w:val="center"/>
              <w:rPr>
                <w:rFonts w:ascii="黑体" w:hAnsi="黑体" w:eastAsia="黑体"/>
                <w:bCs/>
                <w:color w:val="auto"/>
                <w:spacing w:val="20"/>
                <w:sz w:val="21"/>
                <w:szCs w:val="21"/>
              </w:rPr>
            </w:pPr>
            <w:r>
              <w:rPr>
                <w:rFonts w:hint="eastAsia" w:ascii="黑体" w:hAnsi="黑体" w:eastAsia="黑体"/>
                <w:bCs/>
                <w:color w:val="auto"/>
                <w:sz w:val="18"/>
              </w:rPr>
              <w:t>实践</w:t>
            </w:r>
          </w:p>
        </w:tc>
        <w:tc>
          <w:tcPr>
            <w:tcW w:w="723" w:type="dxa"/>
            <w:vAlign w:val="center"/>
          </w:tcPr>
          <w:p>
            <w:pPr>
              <w:widowControl/>
              <w:jc w:val="center"/>
              <w:rPr>
                <w:rFonts w:ascii="黑体" w:hAnsi="黑体" w:eastAsia="黑体"/>
                <w:bCs/>
                <w:color w:val="auto"/>
                <w:spacing w:val="20"/>
                <w:sz w:val="21"/>
                <w:szCs w:val="21"/>
              </w:rPr>
            </w:pPr>
            <w:r>
              <w:rPr>
                <w:rFonts w:hint="eastAsia" w:ascii="黑体" w:hAnsi="黑体" w:eastAsia="黑体"/>
                <w:bCs/>
                <w:color w:val="auto"/>
                <w:sz w:val="18"/>
                <w:szCs w:val="18"/>
              </w:rPr>
              <w:t>线上学时</w:t>
            </w:r>
          </w:p>
        </w:tc>
        <w:tc>
          <w:tcPr>
            <w:tcW w:w="730" w:type="dxa"/>
            <w:vAlign w:val="center"/>
          </w:tcPr>
          <w:p>
            <w:pPr>
              <w:widowControl/>
              <w:jc w:val="center"/>
              <w:rPr>
                <w:rFonts w:ascii="仿宋" w:hAnsi="仿宋" w:eastAsia="仿宋"/>
                <w:b/>
                <w:color w:val="auto"/>
                <w:spacing w:val="20"/>
                <w:sz w:val="21"/>
                <w:szCs w:val="21"/>
              </w:rPr>
            </w:pPr>
            <w:r>
              <w:rPr>
                <w:rFonts w:hint="eastAsia" w:ascii="黑体" w:hAnsi="黑体" w:eastAsia="黑体"/>
                <w:bCs/>
                <w:color w:val="auto"/>
                <w:sz w:val="18"/>
                <w:szCs w:val="18"/>
              </w:rPr>
              <w:t>线下学时</w:t>
            </w:r>
          </w:p>
        </w:tc>
        <w:tc>
          <w:tcPr>
            <w:tcW w:w="780" w:type="dxa"/>
            <w:vMerge w:val="continue"/>
            <w:vAlign w:val="center"/>
          </w:tcPr>
          <w:p>
            <w:pPr>
              <w:widowControl/>
              <w:jc w:val="center"/>
              <w:rPr>
                <w:rFonts w:ascii="仿宋" w:hAnsi="仿宋" w:eastAsia="仿宋"/>
                <w:b/>
                <w:color w:val="auto"/>
                <w:spacing w:val="20"/>
                <w:sz w:val="21"/>
                <w:szCs w:val="21"/>
              </w:rPr>
            </w:pPr>
          </w:p>
        </w:tc>
        <w:tc>
          <w:tcPr>
            <w:tcW w:w="1334" w:type="dxa"/>
            <w:vMerge w:val="continue"/>
            <w:vAlign w:val="center"/>
          </w:tcPr>
          <w:p>
            <w:pPr>
              <w:widowControl/>
              <w:jc w:val="center"/>
              <w:rPr>
                <w:rFonts w:ascii="仿宋" w:hAnsi="仿宋" w:eastAsia="仿宋"/>
                <w:b/>
                <w:color w:val="auto"/>
                <w:spacing w:val="20"/>
                <w:sz w:val="21"/>
                <w:szCs w:val="21"/>
              </w:rPr>
            </w:pPr>
          </w:p>
        </w:tc>
        <w:tc>
          <w:tcPr>
            <w:tcW w:w="734" w:type="dxa"/>
            <w:vMerge w:val="continue"/>
            <w:vAlign w:val="center"/>
          </w:tcPr>
          <w:p>
            <w:pPr>
              <w:widowControl/>
              <w:jc w:val="center"/>
              <w:rPr>
                <w:rFonts w:ascii="仿宋" w:hAnsi="仿宋" w:eastAsia="仿宋"/>
                <w:b/>
                <w:color w:val="auto"/>
                <w:spacing w:val="2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8" w:type="dxa"/>
            <w:vAlign w:val="center"/>
          </w:tcPr>
          <w:p>
            <w:pPr>
              <w:widowControl/>
              <w:jc w:val="left"/>
              <w:rPr>
                <w:rFonts w:ascii="仿宋" w:hAnsi="仿宋" w:eastAsia="仿宋"/>
                <w:bCs/>
                <w:color w:val="auto"/>
                <w:spacing w:val="20"/>
                <w:sz w:val="18"/>
                <w:szCs w:val="18"/>
                <w:lang w:val="zh-CN"/>
              </w:rPr>
            </w:pPr>
            <w:r>
              <w:rPr>
                <w:rFonts w:hint="eastAsia" w:ascii="仿宋" w:hAnsi="仿宋" w:eastAsia="仿宋"/>
                <w:bCs/>
                <w:color w:val="auto"/>
                <w:spacing w:val="20"/>
                <w:sz w:val="18"/>
                <w:szCs w:val="18"/>
                <w:lang w:val="zh-CN"/>
              </w:rPr>
              <w:t>数字媒介素养</w:t>
            </w:r>
          </w:p>
        </w:tc>
        <w:tc>
          <w:tcPr>
            <w:tcW w:w="1439" w:type="dxa"/>
            <w:vAlign w:val="center"/>
          </w:tcPr>
          <w:p>
            <w:pPr>
              <w:widowControl/>
              <w:jc w:val="left"/>
              <w:rPr>
                <w:rFonts w:ascii="仿宋" w:hAnsi="仿宋" w:eastAsia="仿宋"/>
                <w:bCs/>
                <w:color w:val="auto"/>
                <w:spacing w:val="20"/>
                <w:sz w:val="18"/>
                <w:szCs w:val="18"/>
                <w:lang w:val="zh-CN"/>
              </w:rPr>
            </w:pPr>
            <w:r>
              <w:rPr>
                <w:rFonts w:ascii="仿宋" w:hAnsi="仿宋" w:eastAsia="仿宋"/>
                <w:bCs/>
                <w:color w:val="auto"/>
                <w:spacing w:val="20"/>
                <w:sz w:val="18"/>
                <w:szCs w:val="18"/>
              </w:rPr>
              <w:t>V0624012B</w:t>
            </w:r>
          </w:p>
        </w:tc>
        <w:tc>
          <w:tcPr>
            <w:tcW w:w="64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2</w:t>
            </w:r>
          </w:p>
        </w:tc>
        <w:tc>
          <w:tcPr>
            <w:tcW w:w="764"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9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16</w:t>
            </w:r>
          </w:p>
        </w:tc>
        <w:tc>
          <w:tcPr>
            <w:tcW w:w="736"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16</w:t>
            </w:r>
          </w:p>
        </w:tc>
        <w:tc>
          <w:tcPr>
            <w:tcW w:w="723" w:type="dxa"/>
            <w:vAlign w:val="center"/>
          </w:tcPr>
          <w:p>
            <w:pPr>
              <w:widowControl/>
              <w:jc w:val="center"/>
              <w:rPr>
                <w:rFonts w:ascii="仿宋" w:hAnsi="仿宋" w:eastAsia="仿宋"/>
                <w:bCs/>
                <w:color w:val="auto"/>
                <w:spacing w:val="20"/>
                <w:sz w:val="18"/>
                <w:szCs w:val="18"/>
              </w:rPr>
            </w:pPr>
          </w:p>
        </w:tc>
        <w:tc>
          <w:tcPr>
            <w:tcW w:w="730"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80" w:type="dxa"/>
            <w:vAlign w:val="center"/>
          </w:tcPr>
          <w:p>
            <w:pPr>
              <w:widowControl/>
              <w:jc w:val="center"/>
              <w:rPr>
                <w:rFonts w:ascii="仿宋" w:hAnsi="仿宋" w:eastAsia="仿宋"/>
                <w:bCs/>
                <w:color w:val="auto"/>
                <w:spacing w:val="20"/>
                <w:sz w:val="18"/>
                <w:szCs w:val="18"/>
              </w:rPr>
            </w:pPr>
            <w:r>
              <w:rPr>
                <w:rFonts w:hint="eastAsia" w:ascii="仿宋" w:hAnsi="仿宋" w:eastAsia="仿宋"/>
                <w:bCs/>
                <w:color w:val="auto"/>
                <w:spacing w:val="20"/>
                <w:sz w:val="18"/>
                <w:szCs w:val="18"/>
              </w:rPr>
              <w:t>考查</w:t>
            </w:r>
          </w:p>
        </w:tc>
        <w:tc>
          <w:tcPr>
            <w:tcW w:w="1334" w:type="dxa"/>
            <w:vAlign w:val="center"/>
          </w:tcPr>
          <w:p>
            <w:pPr>
              <w:widowControl/>
              <w:jc w:val="center"/>
              <w:rPr>
                <w:rFonts w:ascii="仿宋" w:hAnsi="仿宋" w:eastAsia="仿宋"/>
                <w:bCs/>
                <w:color w:val="auto"/>
                <w:spacing w:val="20"/>
                <w:sz w:val="18"/>
                <w:szCs w:val="18"/>
              </w:rPr>
            </w:pPr>
            <w:r>
              <w:rPr>
                <w:rFonts w:hint="eastAsia" w:ascii="仿宋" w:hAnsi="仿宋" w:eastAsia="仿宋"/>
                <w:bCs/>
                <w:color w:val="auto"/>
                <w:spacing w:val="20"/>
                <w:sz w:val="18"/>
                <w:szCs w:val="18"/>
              </w:rPr>
              <w:t>文传学院</w:t>
            </w:r>
          </w:p>
        </w:tc>
        <w:tc>
          <w:tcPr>
            <w:tcW w:w="734" w:type="dxa"/>
            <w:vAlign w:val="center"/>
          </w:tcPr>
          <w:p>
            <w:pPr>
              <w:widowControl/>
              <w:jc w:val="center"/>
              <w:rPr>
                <w:rFonts w:ascii="仿宋" w:hAnsi="仿宋" w:eastAsia="仿宋"/>
                <w:bCs/>
                <w:color w:val="auto"/>
                <w:spacing w:val="20"/>
                <w:sz w:val="18"/>
                <w:szCs w:val="18"/>
              </w:rPr>
            </w:pPr>
            <w:r>
              <w:rPr>
                <w:rFonts w:hint="eastAsia" w:ascii="仿宋" w:hAnsi="仿宋" w:eastAsia="仿宋"/>
                <w:bCs/>
                <w:color w:val="auto"/>
                <w:spacing w:val="20"/>
                <w:sz w:val="18"/>
                <w:szCs w:val="18"/>
              </w:rPr>
              <w:t>秋季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8" w:type="dxa"/>
            <w:vAlign w:val="center"/>
          </w:tcPr>
          <w:p>
            <w:pPr>
              <w:widowControl/>
              <w:jc w:val="left"/>
              <w:rPr>
                <w:rFonts w:ascii="仿宋" w:hAnsi="仿宋" w:eastAsia="仿宋"/>
                <w:bCs/>
                <w:color w:val="auto"/>
                <w:spacing w:val="20"/>
                <w:sz w:val="18"/>
                <w:szCs w:val="18"/>
              </w:rPr>
            </w:pPr>
            <w:r>
              <w:rPr>
                <w:rFonts w:hint="eastAsia" w:ascii="仿宋" w:hAnsi="仿宋" w:eastAsia="仿宋"/>
                <w:bCs/>
                <w:color w:val="auto"/>
                <w:spacing w:val="20"/>
                <w:sz w:val="18"/>
                <w:szCs w:val="18"/>
              </w:rPr>
              <w:t>未来媒体与智能传播</w:t>
            </w:r>
          </w:p>
        </w:tc>
        <w:tc>
          <w:tcPr>
            <w:tcW w:w="1439" w:type="dxa"/>
            <w:vAlign w:val="center"/>
          </w:tcPr>
          <w:p>
            <w:pPr>
              <w:widowControl/>
              <w:jc w:val="left"/>
              <w:rPr>
                <w:rFonts w:ascii="仿宋" w:hAnsi="仿宋" w:eastAsia="仿宋"/>
                <w:bCs/>
                <w:color w:val="auto"/>
                <w:spacing w:val="20"/>
                <w:sz w:val="18"/>
                <w:szCs w:val="18"/>
                <w:lang w:val="zh-CN"/>
              </w:rPr>
            </w:pPr>
            <w:r>
              <w:rPr>
                <w:rFonts w:ascii="仿宋" w:hAnsi="仿宋" w:eastAsia="仿宋"/>
                <w:bCs/>
                <w:color w:val="auto"/>
                <w:spacing w:val="20"/>
                <w:sz w:val="18"/>
                <w:szCs w:val="18"/>
              </w:rPr>
              <w:t>V0624022B</w:t>
            </w:r>
          </w:p>
        </w:tc>
        <w:tc>
          <w:tcPr>
            <w:tcW w:w="64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2</w:t>
            </w:r>
          </w:p>
        </w:tc>
        <w:tc>
          <w:tcPr>
            <w:tcW w:w="764"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9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16</w:t>
            </w:r>
          </w:p>
        </w:tc>
        <w:tc>
          <w:tcPr>
            <w:tcW w:w="736"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16</w:t>
            </w:r>
          </w:p>
        </w:tc>
        <w:tc>
          <w:tcPr>
            <w:tcW w:w="723" w:type="dxa"/>
            <w:vAlign w:val="center"/>
          </w:tcPr>
          <w:p>
            <w:pPr>
              <w:widowControl/>
              <w:jc w:val="center"/>
              <w:rPr>
                <w:rFonts w:ascii="仿宋" w:hAnsi="仿宋" w:eastAsia="仿宋"/>
                <w:bCs/>
                <w:color w:val="auto"/>
                <w:spacing w:val="20"/>
                <w:sz w:val="18"/>
                <w:szCs w:val="18"/>
              </w:rPr>
            </w:pPr>
          </w:p>
        </w:tc>
        <w:tc>
          <w:tcPr>
            <w:tcW w:w="730"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80" w:type="dxa"/>
            <w:vAlign w:val="center"/>
          </w:tcPr>
          <w:p>
            <w:pPr>
              <w:jc w:val="center"/>
              <w:rPr>
                <w:bCs/>
                <w:color w:val="auto"/>
              </w:rPr>
            </w:pPr>
            <w:r>
              <w:rPr>
                <w:rFonts w:hint="eastAsia" w:ascii="仿宋" w:hAnsi="仿宋" w:eastAsia="仿宋"/>
                <w:bCs/>
                <w:color w:val="auto"/>
                <w:spacing w:val="20"/>
                <w:sz w:val="18"/>
                <w:szCs w:val="18"/>
              </w:rPr>
              <w:t>考查</w:t>
            </w:r>
          </w:p>
        </w:tc>
        <w:tc>
          <w:tcPr>
            <w:tcW w:w="1334" w:type="dxa"/>
            <w:vAlign w:val="center"/>
          </w:tcPr>
          <w:p>
            <w:pPr>
              <w:jc w:val="center"/>
              <w:rPr>
                <w:rFonts w:ascii="仿宋" w:hAnsi="仿宋" w:eastAsia="仿宋"/>
                <w:bCs/>
                <w:color w:val="auto"/>
                <w:spacing w:val="20"/>
                <w:sz w:val="18"/>
                <w:szCs w:val="18"/>
              </w:rPr>
            </w:pPr>
            <w:r>
              <w:rPr>
                <w:rFonts w:hint="eastAsia" w:ascii="仿宋" w:hAnsi="仿宋" w:eastAsia="仿宋"/>
                <w:bCs/>
                <w:color w:val="auto"/>
                <w:spacing w:val="20"/>
                <w:sz w:val="18"/>
                <w:szCs w:val="18"/>
              </w:rPr>
              <w:t>文传学院、经济日报社、中经网</w:t>
            </w:r>
          </w:p>
        </w:tc>
        <w:tc>
          <w:tcPr>
            <w:tcW w:w="734" w:type="dxa"/>
            <w:vAlign w:val="center"/>
          </w:tcPr>
          <w:p>
            <w:pPr>
              <w:widowControl/>
              <w:jc w:val="center"/>
              <w:rPr>
                <w:rFonts w:ascii="仿宋" w:hAnsi="仿宋" w:eastAsia="仿宋"/>
                <w:bCs/>
                <w:color w:val="auto"/>
                <w:spacing w:val="20"/>
                <w:sz w:val="18"/>
                <w:szCs w:val="18"/>
              </w:rPr>
            </w:pPr>
            <w:r>
              <w:rPr>
                <w:rFonts w:hint="eastAsia" w:ascii="仿宋" w:hAnsi="仿宋" w:eastAsia="仿宋"/>
                <w:bCs/>
                <w:color w:val="auto"/>
                <w:spacing w:val="20"/>
                <w:sz w:val="18"/>
                <w:szCs w:val="18"/>
                <w:lang w:val="en-US" w:eastAsia="zh-CN"/>
              </w:rPr>
              <w:t>春</w:t>
            </w:r>
            <w:r>
              <w:rPr>
                <w:rFonts w:hint="eastAsia" w:ascii="仿宋" w:hAnsi="仿宋" w:eastAsia="仿宋"/>
                <w:bCs/>
                <w:color w:val="auto"/>
                <w:spacing w:val="20"/>
                <w:sz w:val="18"/>
                <w:szCs w:val="18"/>
              </w:rPr>
              <w:t>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8" w:type="dxa"/>
            <w:vAlign w:val="center"/>
          </w:tcPr>
          <w:p>
            <w:pPr>
              <w:widowControl/>
              <w:jc w:val="left"/>
              <w:rPr>
                <w:rFonts w:ascii="仿宋" w:hAnsi="仿宋" w:eastAsia="仿宋"/>
                <w:bCs/>
                <w:color w:val="auto"/>
                <w:spacing w:val="20"/>
                <w:sz w:val="18"/>
                <w:szCs w:val="18"/>
              </w:rPr>
            </w:pPr>
            <w:r>
              <w:rPr>
                <w:rFonts w:hint="eastAsia" w:ascii="仿宋" w:hAnsi="仿宋" w:eastAsia="仿宋"/>
                <w:bCs/>
                <w:color w:val="auto"/>
                <w:spacing w:val="20"/>
                <w:sz w:val="18"/>
                <w:szCs w:val="18"/>
              </w:rPr>
              <w:t>新媒体广告全景</w:t>
            </w:r>
          </w:p>
        </w:tc>
        <w:tc>
          <w:tcPr>
            <w:tcW w:w="1439" w:type="dxa"/>
            <w:vAlign w:val="center"/>
          </w:tcPr>
          <w:p>
            <w:pPr>
              <w:widowControl/>
              <w:jc w:val="left"/>
              <w:rPr>
                <w:rFonts w:ascii="仿宋" w:hAnsi="仿宋" w:eastAsia="仿宋"/>
                <w:bCs/>
                <w:color w:val="auto"/>
                <w:spacing w:val="20"/>
                <w:sz w:val="18"/>
                <w:szCs w:val="18"/>
                <w:lang w:val="zh-CN"/>
              </w:rPr>
            </w:pPr>
            <w:r>
              <w:rPr>
                <w:rFonts w:ascii="仿宋" w:hAnsi="仿宋" w:eastAsia="仿宋"/>
                <w:bCs/>
                <w:color w:val="auto"/>
                <w:spacing w:val="20"/>
                <w:sz w:val="18"/>
                <w:szCs w:val="18"/>
              </w:rPr>
              <w:t>V0624032B</w:t>
            </w:r>
          </w:p>
        </w:tc>
        <w:tc>
          <w:tcPr>
            <w:tcW w:w="64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2</w:t>
            </w:r>
          </w:p>
        </w:tc>
        <w:tc>
          <w:tcPr>
            <w:tcW w:w="764"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9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16</w:t>
            </w:r>
          </w:p>
        </w:tc>
        <w:tc>
          <w:tcPr>
            <w:tcW w:w="736"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16</w:t>
            </w:r>
          </w:p>
        </w:tc>
        <w:tc>
          <w:tcPr>
            <w:tcW w:w="723"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16</w:t>
            </w:r>
          </w:p>
        </w:tc>
        <w:tc>
          <w:tcPr>
            <w:tcW w:w="730"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16</w:t>
            </w:r>
          </w:p>
        </w:tc>
        <w:tc>
          <w:tcPr>
            <w:tcW w:w="780" w:type="dxa"/>
            <w:vAlign w:val="center"/>
          </w:tcPr>
          <w:p>
            <w:pPr>
              <w:jc w:val="center"/>
              <w:rPr>
                <w:bCs/>
                <w:color w:val="auto"/>
              </w:rPr>
            </w:pPr>
            <w:r>
              <w:rPr>
                <w:rFonts w:hint="eastAsia" w:ascii="仿宋" w:hAnsi="仿宋" w:eastAsia="仿宋"/>
                <w:bCs/>
                <w:color w:val="auto"/>
                <w:spacing w:val="20"/>
                <w:sz w:val="18"/>
                <w:szCs w:val="18"/>
              </w:rPr>
              <w:t>考查</w:t>
            </w:r>
          </w:p>
        </w:tc>
        <w:tc>
          <w:tcPr>
            <w:tcW w:w="1334" w:type="dxa"/>
            <w:vAlign w:val="center"/>
          </w:tcPr>
          <w:p>
            <w:pPr>
              <w:jc w:val="center"/>
              <w:rPr>
                <w:bCs/>
                <w:color w:val="auto"/>
              </w:rPr>
            </w:pPr>
            <w:r>
              <w:rPr>
                <w:rFonts w:hint="eastAsia" w:ascii="仿宋" w:hAnsi="仿宋" w:eastAsia="仿宋"/>
                <w:bCs/>
                <w:color w:val="auto"/>
                <w:spacing w:val="20"/>
                <w:sz w:val="18"/>
                <w:szCs w:val="18"/>
              </w:rPr>
              <w:t>文传学院、巨量引擎</w:t>
            </w:r>
          </w:p>
        </w:tc>
        <w:tc>
          <w:tcPr>
            <w:tcW w:w="734" w:type="dxa"/>
            <w:vAlign w:val="center"/>
          </w:tcPr>
          <w:p>
            <w:pPr>
              <w:widowControl/>
              <w:jc w:val="center"/>
              <w:rPr>
                <w:rFonts w:ascii="仿宋" w:hAnsi="仿宋" w:eastAsia="仿宋"/>
                <w:bCs/>
                <w:color w:val="auto"/>
                <w:spacing w:val="20"/>
                <w:sz w:val="18"/>
                <w:szCs w:val="18"/>
              </w:rPr>
            </w:pPr>
            <w:r>
              <w:rPr>
                <w:rFonts w:hint="eastAsia" w:ascii="仿宋" w:hAnsi="仿宋" w:eastAsia="仿宋"/>
                <w:bCs/>
                <w:color w:val="auto"/>
                <w:spacing w:val="20"/>
                <w:sz w:val="18"/>
                <w:szCs w:val="18"/>
              </w:rPr>
              <w:t>秋季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8" w:type="dxa"/>
            <w:vAlign w:val="center"/>
          </w:tcPr>
          <w:p>
            <w:pPr>
              <w:widowControl/>
              <w:jc w:val="left"/>
              <w:rPr>
                <w:rFonts w:ascii="仿宋" w:hAnsi="仿宋" w:eastAsia="仿宋"/>
                <w:bCs/>
                <w:color w:val="auto"/>
                <w:spacing w:val="20"/>
                <w:sz w:val="18"/>
                <w:szCs w:val="18"/>
              </w:rPr>
            </w:pPr>
            <w:r>
              <w:rPr>
                <w:rFonts w:hint="eastAsia" w:ascii="仿宋" w:hAnsi="仿宋" w:eastAsia="仿宋"/>
                <w:bCs/>
                <w:color w:val="auto"/>
                <w:spacing w:val="20"/>
                <w:sz w:val="18"/>
                <w:szCs w:val="18"/>
              </w:rPr>
              <w:t>网络影视产品运营管理</w:t>
            </w:r>
          </w:p>
        </w:tc>
        <w:tc>
          <w:tcPr>
            <w:tcW w:w="1439" w:type="dxa"/>
            <w:vAlign w:val="center"/>
          </w:tcPr>
          <w:p>
            <w:pPr>
              <w:widowControl/>
              <w:jc w:val="left"/>
              <w:rPr>
                <w:rFonts w:ascii="仿宋" w:hAnsi="仿宋" w:eastAsia="仿宋"/>
                <w:bCs/>
                <w:color w:val="auto"/>
                <w:spacing w:val="20"/>
                <w:sz w:val="18"/>
                <w:szCs w:val="18"/>
                <w:lang w:val="zh-CN"/>
              </w:rPr>
            </w:pPr>
            <w:r>
              <w:rPr>
                <w:rFonts w:ascii="仿宋" w:hAnsi="仿宋" w:eastAsia="仿宋"/>
                <w:bCs/>
                <w:color w:val="auto"/>
                <w:spacing w:val="20"/>
                <w:sz w:val="18"/>
                <w:szCs w:val="18"/>
              </w:rPr>
              <w:t>V0624042B</w:t>
            </w:r>
          </w:p>
        </w:tc>
        <w:tc>
          <w:tcPr>
            <w:tcW w:w="64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2</w:t>
            </w:r>
          </w:p>
        </w:tc>
        <w:tc>
          <w:tcPr>
            <w:tcW w:w="764"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9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16</w:t>
            </w:r>
            <w:bookmarkStart w:id="5" w:name="_GoBack"/>
            <w:bookmarkEnd w:id="5"/>
          </w:p>
        </w:tc>
        <w:tc>
          <w:tcPr>
            <w:tcW w:w="736"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16</w:t>
            </w:r>
          </w:p>
        </w:tc>
        <w:tc>
          <w:tcPr>
            <w:tcW w:w="723" w:type="dxa"/>
            <w:vAlign w:val="center"/>
          </w:tcPr>
          <w:p>
            <w:pPr>
              <w:widowControl/>
              <w:jc w:val="center"/>
              <w:rPr>
                <w:rFonts w:ascii="仿宋" w:hAnsi="仿宋" w:eastAsia="仿宋"/>
                <w:bCs/>
                <w:color w:val="auto"/>
                <w:spacing w:val="20"/>
                <w:sz w:val="18"/>
                <w:szCs w:val="18"/>
              </w:rPr>
            </w:pPr>
          </w:p>
        </w:tc>
        <w:tc>
          <w:tcPr>
            <w:tcW w:w="730"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80" w:type="dxa"/>
            <w:vAlign w:val="center"/>
          </w:tcPr>
          <w:p>
            <w:pPr>
              <w:jc w:val="center"/>
              <w:rPr>
                <w:bCs/>
                <w:color w:val="auto"/>
              </w:rPr>
            </w:pPr>
            <w:r>
              <w:rPr>
                <w:rFonts w:hint="eastAsia" w:ascii="仿宋" w:hAnsi="仿宋" w:eastAsia="仿宋"/>
                <w:bCs/>
                <w:color w:val="auto"/>
                <w:spacing w:val="20"/>
                <w:sz w:val="18"/>
                <w:szCs w:val="18"/>
              </w:rPr>
              <w:t>考查</w:t>
            </w:r>
          </w:p>
        </w:tc>
        <w:tc>
          <w:tcPr>
            <w:tcW w:w="1334" w:type="dxa"/>
            <w:vAlign w:val="center"/>
          </w:tcPr>
          <w:p>
            <w:pPr>
              <w:jc w:val="center"/>
              <w:rPr>
                <w:rFonts w:ascii="仿宋" w:hAnsi="仿宋" w:eastAsia="仿宋"/>
                <w:bCs/>
                <w:color w:val="auto"/>
                <w:spacing w:val="20"/>
                <w:sz w:val="18"/>
                <w:szCs w:val="18"/>
              </w:rPr>
            </w:pPr>
            <w:r>
              <w:rPr>
                <w:rFonts w:hint="eastAsia" w:ascii="仿宋" w:hAnsi="仿宋" w:eastAsia="仿宋"/>
                <w:bCs/>
                <w:color w:val="auto"/>
                <w:spacing w:val="20"/>
                <w:sz w:val="18"/>
                <w:szCs w:val="18"/>
              </w:rPr>
              <w:t>文传学院</w:t>
            </w:r>
          </w:p>
          <w:p>
            <w:pPr>
              <w:jc w:val="center"/>
              <w:rPr>
                <w:bCs/>
                <w:color w:val="auto"/>
              </w:rPr>
            </w:pPr>
            <w:r>
              <w:rPr>
                <w:rFonts w:hint="eastAsia" w:ascii="仿宋" w:hAnsi="仿宋" w:eastAsia="仿宋"/>
                <w:bCs/>
                <w:color w:val="auto"/>
                <w:spacing w:val="20"/>
                <w:sz w:val="18"/>
                <w:szCs w:val="18"/>
              </w:rPr>
              <w:t>爱奇艺</w:t>
            </w:r>
          </w:p>
        </w:tc>
        <w:tc>
          <w:tcPr>
            <w:tcW w:w="734" w:type="dxa"/>
            <w:vAlign w:val="center"/>
          </w:tcPr>
          <w:p>
            <w:pPr>
              <w:widowControl/>
              <w:jc w:val="center"/>
              <w:rPr>
                <w:rFonts w:ascii="仿宋" w:hAnsi="仿宋" w:eastAsia="仿宋"/>
                <w:bCs/>
                <w:color w:val="auto"/>
                <w:spacing w:val="20"/>
                <w:sz w:val="18"/>
                <w:szCs w:val="18"/>
              </w:rPr>
            </w:pPr>
            <w:r>
              <w:rPr>
                <w:rFonts w:hint="eastAsia" w:ascii="仿宋" w:hAnsi="仿宋" w:eastAsia="仿宋"/>
                <w:bCs/>
                <w:color w:val="auto"/>
                <w:spacing w:val="20"/>
                <w:sz w:val="18"/>
                <w:szCs w:val="18"/>
              </w:rPr>
              <w:t>春季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8" w:type="dxa"/>
            <w:vAlign w:val="center"/>
          </w:tcPr>
          <w:p>
            <w:pPr>
              <w:widowControl/>
              <w:jc w:val="left"/>
              <w:rPr>
                <w:rFonts w:ascii="仿宋" w:hAnsi="仿宋" w:eastAsia="仿宋"/>
                <w:bCs/>
                <w:color w:val="auto"/>
                <w:spacing w:val="20"/>
                <w:sz w:val="18"/>
                <w:szCs w:val="18"/>
              </w:rPr>
            </w:pPr>
            <w:r>
              <w:rPr>
                <w:rFonts w:hint="eastAsia" w:ascii="仿宋" w:hAnsi="仿宋" w:eastAsia="仿宋"/>
                <w:bCs/>
                <w:color w:val="auto"/>
                <w:spacing w:val="20"/>
                <w:sz w:val="18"/>
                <w:szCs w:val="18"/>
              </w:rPr>
              <w:t>AIGC视觉创意与未来设计思维</w:t>
            </w:r>
          </w:p>
        </w:tc>
        <w:tc>
          <w:tcPr>
            <w:tcW w:w="1439" w:type="dxa"/>
            <w:vAlign w:val="center"/>
          </w:tcPr>
          <w:p>
            <w:pPr>
              <w:widowControl/>
              <w:jc w:val="left"/>
              <w:rPr>
                <w:rFonts w:ascii="仿宋" w:hAnsi="仿宋" w:eastAsia="仿宋"/>
                <w:bCs/>
                <w:color w:val="auto"/>
                <w:spacing w:val="20"/>
                <w:sz w:val="18"/>
                <w:szCs w:val="18"/>
                <w:lang w:val="zh-CN"/>
              </w:rPr>
            </w:pPr>
            <w:r>
              <w:rPr>
                <w:rFonts w:ascii="仿宋" w:hAnsi="仿宋" w:eastAsia="仿宋"/>
                <w:bCs/>
                <w:color w:val="auto"/>
                <w:spacing w:val="20"/>
                <w:sz w:val="18"/>
                <w:szCs w:val="18"/>
              </w:rPr>
              <w:t>V0624052B</w:t>
            </w:r>
          </w:p>
        </w:tc>
        <w:tc>
          <w:tcPr>
            <w:tcW w:w="64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2</w:t>
            </w:r>
          </w:p>
        </w:tc>
        <w:tc>
          <w:tcPr>
            <w:tcW w:w="764"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9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13</w:t>
            </w:r>
          </w:p>
        </w:tc>
        <w:tc>
          <w:tcPr>
            <w:tcW w:w="736"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19</w:t>
            </w:r>
          </w:p>
        </w:tc>
        <w:tc>
          <w:tcPr>
            <w:tcW w:w="723" w:type="dxa"/>
            <w:vAlign w:val="center"/>
          </w:tcPr>
          <w:p>
            <w:pPr>
              <w:widowControl/>
              <w:jc w:val="center"/>
              <w:rPr>
                <w:rFonts w:ascii="仿宋" w:hAnsi="仿宋" w:eastAsia="仿宋"/>
                <w:bCs/>
                <w:color w:val="auto"/>
                <w:spacing w:val="20"/>
                <w:sz w:val="18"/>
                <w:szCs w:val="18"/>
              </w:rPr>
            </w:pPr>
          </w:p>
        </w:tc>
        <w:tc>
          <w:tcPr>
            <w:tcW w:w="730"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80" w:type="dxa"/>
            <w:vAlign w:val="center"/>
          </w:tcPr>
          <w:p>
            <w:pPr>
              <w:jc w:val="center"/>
              <w:rPr>
                <w:bCs/>
                <w:color w:val="auto"/>
              </w:rPr>
            </w:pPr>
            <w:r>
              <w:rPr>
                <w:rFonts w:hint="eastAsia" w:ascii="仿宋" w:hAnsi="仿宋" w:eastAsia="仿宋"/>
                <w:bCs/>
                <w:color w:val="auto"/>
                <w:spacing w:val="20"/>
                <w:sz w:val="18"/>
                <w:szCs w:val="18"/>
              </w:rPr>
              <w:t>考查</w:t>
            </w:r>
          </w:p>
        </w:tc>
        <w:tc>
          <w:tcPr>
            <w:tcW w:w="1334" w:type="dxa"/>
            <w:vAlign w:val="center"/>
          </w:tcPr>
          <w:p>
            <w:pPr>
              <w:jc w:val="center"/>
              <w:rPr>
                <w:rFonts w:ascii="仿宋" w:hAnsi="仿宋" w:eastAsia="仿宋"/>
                <w:bCs/>
                <w:color w:val="auto"/>
                <w:spacing w:val="20"/>
                <w:sz w:val="18"/>
                <w:szCs w:val="18"/>
              </w:rPr>
            </w:pPr>
            <w:r>
              <w:rPr>
                <w:rFonts w:hint="eastAsia" w:ascii="仿宋" w:hAnsi="仿宋" w:eastAsia="仿宋"/>
                <w:bCs/>
                <w:color w:val="auto"/>
                <w:spacing w:val="20"/>
                <w:sz w:val="18"/>
                <w:szCs w:val="18"/>
              </w:rPr>
              <w:t>文传学院</w:t>
            </w:r>
          </w:p>
          <w:p>
            <w:pPr>
              <w:jc w:val="center"/>
              <w:rPr>
                <w:bCs/>
                <w:color w:val="auto"/>
              </w:rPr>
            </w:pPr>
            <w:r>
              <w:rPr>
                <w:rFonts w:hint="eastAsia" w:ascii="仿宋" w:hAnsi="仿宋" w:eastAsia="仿宋"/>
                <w:bCs/>
                <w:color w:val="auto"/>
                <w:spacing w:val="20"/>
                <w:sz w:val="18"/>
                <w:szCs w:val="18"/>
              </w:rPr>
              <w:t>中经网</w:t>
            </w:r>
          </w:p>
        </w:tc>
        <w:tc>
          <w:tcPr>
            <w:tcW w:w="734" w:type="dxa"/>
            <w:vAlign w:val="center"/>
          </w:tcPr>
          <w:p>
            <w:pPr>
              <w:jc w:val="center"/>
              <w:rPr>
                <w:bCs/>
                <w:color w:val="auto"/>
              </w:rPr>
            </w:pPr>
            <w:r>
              <w:rPr>
                <w:rFonts w:hint="eastAsia" w:ascii="仿宋" w:hAnsi="仿宋" w:eastAsia="仿宋"/>
                <w:bCs/>
                <w:color w:val="auto"/>
                <w:spacing w:val="20"/>
                <w:sz w:val="18"/>
                <w:szCs w:val="18"/>
              </w:rPr>
              <w:t>春季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8" w:type="dxa"/>
            <w:vAlign w:val="center"/>
          </w:tcPr>
          <w:p>
            <w:pPr>
              <w:widowControl/>
              <w:jc w:val="left"/>
              <w:rPr>
                <w:rFonts w:ascii="仿宋" w:hAnsi="仿宋" w:eastAsia="仿宋"/>
                <w:bCs/>
                <w:color w:val="auto"/>
                <w:spacing w:val="20"/>
                <w:sz w:val="18"/>
                <w:szCs w:val="18"/>
              </w:rPr>
            </w:pPr>
            <w:r>
              <w:rPr>
                <w:rFonts w:hint="eastAsia" w:ascii="仿宋" w:hAnsi="仿宋" w:eastAsia="仿宋"/>
                <w:bCs/>
                <w:color w:val="auto"/>
                <w:spacing w:val="20"/>
                <w:sz w:val="18"/>
                <w:szCs w:val="18"/>
              </w:rPr>
              <w:t>智媒广告与营销实战</w:t>
            </w:r>
          </w:p>
        </w:tc>
        <w:tc>
          <w:tcPr>
            <w:tcW w:w="1439" w:type="dxa"/>
            <w:vAlign w:val="center"/>
          </w:tcPr>
          <w:p>
            <w:pPr>
              <w:widowControl/>
              <w:jc w:val="left"/>
              <w:rPr>
                <w:rFonts w:ascii="仿宋" w:hAnsi="仿宋" w:eastAsia="仿宋"/>
                <w:bCs/>
                <w:color w:val="auto"/>
                <w:spacing w:val="20"/>
                <w:sz w:val="18"/>
                <w:szCs w:val="18"/>
                <w:lang w:val="zh-CN"/>
              </w:rPr>
            </w:pPr>
            <w:r>
              <w:rPr>
                <w:rFonts w:ascii="仿宋" w:hAnsi="仿宋" w:eastAsia="仿宋"/>
                <w:bCs/>
                <w:color w:val="auto"/>
                <w:spacing w:val="20"/>
                <w:sz w:val="18"/>
                <w:szCs w:val="18"/>
              </w:rPr>
              <w:t>V0624062B</w:t>
            </w:r>
          </w:p>
        </w:tc>
        <w:tc>
          <w:tcPr>
            <w:tcW w:w="64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2</w:t>
            </w:r>
          </w:p>
        </w:tc>
        <w:tc>
          <w:tcPr>
            <w:tcW w:w="764"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91"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12</w:t>
            </w:r>
          </w:p>
        </w:tc>
        <w:tc>
          <w:tcPr>
            <w:tcW w:w="736"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20</w:t>
            </w:r>
          </w:p>
        </w:tc>
        <w:tc>
          <w:tcPr>
            <w:tcW w:w="723" w:type="dxa"/>
            <w:vAlign w:val="center"/>
          </w:tcPr>
          <w:p>
            <w:pPr>
              <w:widowControl/>
              <w:jc w:val="center"/>
              <w:rPr>
                <w:rFonts w:ascii="仿宋" w:hAnsi="仿宋" w:eastAsia="仿宋"/>
                <w:bCs/>
                <w:color w:val="auto"/>
                <w:spacing w:val="20"/>
                <w:sz w:val="18"/>
                <w:szCs w:val="18"/>
              </w:rPr>
            </w:pPr>
          </w:p>
        </w:tc>
        <w:tc>
          <w:tcPr>
            <w:tcW w:w="730" w:type="dxa"/>
            <w:vAlign w:val="center"/>
          </w:tcPr>
          <w:p>
            <w:pPr>
              <w:widowControl/>
              <w:jc w:val="center"/>
              <w:rPr>
                <w:rFonts w:ascii="仿宋" w:hAnsi="仿宋" w:eastAsia="仿宋"/>
                <w:bCs/>
                <w:color w:val="auto"/>
                <w:spacing w:val="20"/>
                <w:sz w:val="18"/>
                <w:szCs w:val="18"/>
              </w:rPr>
            </w:pPr>
            <w:r>
              <w:rPr>
                <w:rFonts w:ascii="仿宋" w:hAnsi="仿宋" w:eastAsia="仿宋"/>
                <w:bCs/>
                <w:color w:val="auto"/>
                <w:spacing w:val="20"/>
                <w:sz w:val="18"/>
                <w:szCs w:val="18"/>
              </w:rPr>
              <w:t>32</w:t>
            </w:r>
          </w:p>
        </w:tc>
        <w:tc>
          <w:tcPr>
            <w:tcW w:w="780" w:type="dxa"/>
            <w:vAlign w:val="center"/>
          </w:tcPr>
          <w:p>
            <w:pPr>
              <w:jc w:val="center"/>
              <w:rPr>
                <w:bCs/>
                <w:color w:val="auto"/>
              </w:rPr>
            </w:pPr>
            <w:r>
              <w:rPr>
                <w:rFonts w:hint="eastAsia" w:ascii="仿宋" w:hAnsi="仿宋" w:eastAsia="仿宋"/>
                <w:bCs/>
                <w:color w:val="auto"/>
                <w:spacing w:val="20"/>
                <w:sz w:val="18"/>
                <w:szCs w:val="18"/>
              </w:rPr>
              <w:t>考查</w:t>
            </w:r>
          </w:p>
        </w:tc>
        <w:tc>
          <w:tcPr>
            <w:tcW w:w="1334" w:type="dxa"/>
            <w:vAlign w:val="center"/>
          </w:tcPr>
          <w:p>
            <w:pPr>
              <w:jc w:val="center"/>
              <w:rPr>
                <w:rFonts w:ascii="仿宋" w:hAnsi="仿宋" w:eastAsia="仿宋"/>
                <w:bCs/>
                <w:color w:val="auto"/>
                <w:spacing w:val="20"/>
                <w:sz w:val="18"/>
                <w:szCs w:val="18"/>
              </w:rPr>
            </w:pPr>
            <w:r>
              <w:rPr>
                <w:rFonts w:hint="eastAsia" w:ascii="仿宋" w:hAnsi="仿宋" w:eastAsia="仿宋"/>
                <w:bCs/>
                <w:color w:val="auto"/>
                <w:spacing w:val="20"/>
                <w:sz w:val="18"/>
                <w:szCs w:val="18"/>
              </w:rPr>
              <w:t>文传学院、</w:t>
            </w:r>
          </w:p>
          <w:p>
            <w:pPr>
              <w:jc w:val="center"/>
              <w:rPr>
                <w:bCs/>
                <w:color w:val="auto"/>
              </w:rPr>
            </w:pPr>
            <w:r>
              <w:rPr>
                <w:rFonts w:hint="eastAsia" w:ascii="仿宋" w:hAnsi="仿宋" w:eastAsia="仿宋"/>
                <w:bCs/>
                <w:color w:val="auto"/>
                <w:spacing w:val="20"/>
                <w:sz w:val="18"/>
                <w:szCs w:val="18"/>
              </w:rPr>
              <w:t>南方都市报等行业机构</w:t>
            </w:r>
          </w:p>
        </w:tc>
        <w:tc>
          <w:tcPr>
            <w:tcW w:w="734" w:type="dxa"/>
            <w:vAlign w:val="center"/>
          </w:tcPr>
          <w:p>
            <w:pPr>
              <w:jc w:val="center"/>
              <w:rPr>
                <w:bCs/>
                <w:color w:val="auto"/>
              </w:rPr>
            </w:pPr>
            <w:r>
              <w:rPr>
                <w:rFonts w:hint="eastAsia" w:ascii="仿宋" w:hAnsi="仿宋" w:eastAsia="仿宋"/>
                <w:bCs/>
                <w:color w:val="auto"/>
                <w:spacing w:val="20"/>
                <w:sz w:val="18"/>
                <w:szCs w:val="18"/>
              </w:rPr>
              <w:t>春季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8" w:type="dxa"/>
            <w:tcBorders>
              <w:bottom w:val="single" w:color="auto" w:sz="4" w:space="0"/>
            </w:tcBorders>
            <w:vAlign w:val="center"/>
          </w:tcPr>
          <w:p>
            <w:pPr>
              <w:widowControl/>
              <w:jc w:val="center"/>
              <w:rPr>
                <w:rFonts w:ascii="黑体" w:hAnsi="黑体" w:eastAsia="黑体"/>
                <w:bCs/>
                <w:color w:val="auto"/>
                <w:sz w:val="18"/>
                <w:szCs w:val="18"/>
              </w:rPr>
            </w:pPr>
            <w:r>
              <w:rPr>
                <w:rFonts w:hint="eastAsia" w:ascii="黑体" w:hAnsi="黑体" w:eastAsia="黑体"/>
                <w:bCs/>
                <w:color w:val="auto"/>
                <w:sz w:val="18"/>
                <w:szCs w:val="18"/>
              </w:rPr>
              <w:t>合计</w:t>
            </w:r>
          </w:p>
        </w:tc>
        <w:tc>
          <w:tcPr>
            <w:tcW w:w="1439" w:type="dxa"/>
            <w:tcBorders>
              <w:bottom w:val="single" w:color="auto" w:sz="4" w:space="0"/>
            </w:tcBorders>
            <w:vAlign w:val="center"/>
          </w:tcPr>
          <w:p>
            <w:pPr>
              <w:widowControl/>
              <w:jc w:val="center"/>
              <w:rPr>
                <w:rFonts w:ascii="仿宋" w:hAnsi="仿宋" w:eastAsia="仿宋"/>
                <w:b/>
                <w:color w:val="auto"/>
                <w:spacing w:val="20"/>
                <w:sz w:val="18"/>
                <w:szCs w:val="18"/>
              </w:rPr>
            </w:pPr>
          </w:p>
        </w:tc>
        <w:tc>
          <w:tcPr>
            <w:tcW w:w="641" w:type="dxa"/>
            <w:tcBorders>
              <w:bottom w:val="single" w:color="auto" w:sz="4" w:space="0"/>
            </w:tcBorders>
            <w:vAlign w:val="center"/>
          </w:tcPr>
          <w:p>
            <w:pPr>
              <w:widowControl/>
              <w:jc w:val="center"/>
              <w:rPr>
                <w:rFonts w:ascii="仿宋" w:hAnsi="仿宋" w:eastAsia="仿宋"/>
                <w:b/>
                <w:color w:val="auto"/>
                <w:spacing w:val="20"/>
                <w:sz w:val="18"/>
                <w:szCs w:val="18"/>
              </w:rPr>
            </w:pPr>
            <w:r>
              <w:rPr>
                <w:rFonts w:ascii="仿宋" w:hAnsi="仿宋" w:eastAsia="仿宋"/>
                <w:b/>
                <w:color w:val="auto"/>
                <w:spacing w:val="20"/>
                <w:sz w:val="18"/>
                <w:szCs w:val="18"/>
              </w:rPr>
              <w:t>12</w:t>
            </w:r>
          </w:p>
        </w:tc>
        <w:tc>
          <w:tcPr>
            <w:tcW w:w="764" w:type="dxa"/>
            <w:tcBorders>
              <w:bottom w:val="single" w:color="auto" w:sz="4" w:space="0"/>
            </w:tcBorders>
            <w:vAlign w:val="center"/>
          </w:tcPr>
          <w:p>
            <w:pPr>
              <w:widowControl/>
              <w:jc w:val="center"/>
              <w:rPr>
                <w:rFonts w:ascii="仿宋" w:hAnsi="仿宋" w:eastAsia="仿宋"/>
                <w:b/>
                <w:color w:val="auto"/>
                <w:spacing w:val="20"/>
                <w:sz w:val="18"/>
                <w:szCs w:val="18"/>
              </w:rPr>
            </w:pPr>
            <w:r>
              <w:rPr>
                <w:rFonts w:ascii="仿宋" w:hAnsi="仿宋" w:eastAsia="仿宋"/>
                <w:b/>
                <w:color w:val="auto"/>
                <w:spacing w:val="20"/>
                <w:sz w:val="18"/>
                <w:szCs w:val="18"/>
              </w:rPr>
              <w:t>192</w:t>
            </w:r>
          </w:p>
        </w:tc>
        <w:tc>
          <w:tcPr>
            <w:tcW w:w="791" w:type="dxa"/>
            <w:tcBorders>
              <w:bottom w:val="single" w:color="auto" w:sz="4" w:space="0"/>
            </w:tcBorders>
            <w:vAlign w:val="center"/>
          </w:tcPr>
          <w:p>
            <w:pPr>
              <w:widowControl/>
              <w:jc w:val="center"/>
              <w:rPr>
                <w:rFonts w:ascii="仿宋" w:hAnsi="仿宋" w:eastAsia="仿宋"/>
                <w:b/>
                <w:color w:val="auto"/>
                <w:spacing w:val="20"/>
                <w:sz w:val="18"/>
                <w:szCs w:val="18"/>
              </w:rPr>
            </w:pPr>
            <w:r>
              <w:rPr>
                <w:rFonts w:ascii="仿宋" w:hAnsi="仿宋" w:eastAsia="仿宋"/>
                <w:b/>
                <w:color w:val="auto"/>
                <w:spacing w:val="20"/>
                <w:sz w:val="18"/>
                <w:szCs w:val="18"/>
              </w:rPr>
              <w:t>89</w:t>
            </w:r>
          </w:p>
        </w:tc>
        <w:tc>
          <w:tcPr>
            <w:tcW w:w="736" w:type="dxa"/>
            <w:tcBorders>
              <w:bottom w:val="single" w:color="auto" w:sz="4" w:space="0"/>
            </w:tcBorders>
            <w:vAlign w:val="center"/>
          </w:tcPr>
          <w:p>
            <w:pPr>
              <w:widowControl/>
              <w:jc w:val="center"/>
              <w:rPr>
                <w:rFonts w:ascii="仿宋" w:hAnsi="仿宋" w:eastAsia="仿宋"/>
                <w:b/>
                <w:color w:val="auto"/>
                <w:spacing w:val="20"/>
                <w:sz w:val="18"/>
                <w:szCs w:val="18"/>
              </w:rPr>
            </w:pPr>
            <w:r>
              <w:rPr>
                <w:rFonts w:ascii="仿宋" w:hAnsi="仿宋" w:eastAsia="仿宋"/>
                <w:b/>
                <w:color w:val="auto"/>
                <w:spacing w:val="20"/>
                <w:sz w:val="18"/>
                <w:szCs w:val="18"/>
              </w:rPr>
              <w:t>103</w:t>
            </w:r>
          </w:p>
        </w:tc>
        <w:tc>
          <w:tcPr>
            <w:tcW w:w="723" w:type="dxa"/>
            <w:tcBorders>
              <w:bottom w:val="single" w:color="auto" w:sz="4" w:space="0"/>
            </w:tcBorders>
            <w:vAlign w:val="center"/>
          </w:tcPr>
          <w:p>
            <w:pPr>
              <w:widowControl/>
              <w:jc w:val="center"/>
              <w:rPr>
                <w:rFonts w:ascii="仿宋" w:hAnsi="仿宋" w:eastAsia="仿宋"/>
                <w:b/>
                <w:color w:val="auto"/>
                <w:spacing w:val="20"/>
                <w:sz w:val="18"/>
                <w:szCs w:val="18"/>
              </w:rPr>
            </w:pPr>
            <w:r>
              <w:rPr>
                <w:rFonts w:ascii="仿宋" w:hAnsi="仿宋" w:eastAsia="仿宋"/>
                <w:b/>
                <w:color w:val="auto"/>
                <w:spacing w:val="20"/>
                <w:sz w:val="18"/>
                <w:szCs w:val="18"/>
              </w:rPr>
              <w:t>16</w:t>
            </w:r>
          </w:p>
        </w:tc>
        <w:tc>
          <w:tcPr>
            <w:tcW w:w="730" w:type="dxa"/>
            <w:tcBorders>
              <w:bottom w:val="single" w:color="auto" w:sz="4" w:space="0"/>
            </w:tcBorders>
            <w:vAlign w:val="center"/>
          </w:tcPr>
          <w:p>
            <w:pPr>
              <w:widowControl/>
              <w:jc w:val="center"/>
              <w:rPr>
                <w:rFonts w:ascii="仿宋" w:hAnsi="仿宋" w:eastAsia="仿宋"/>
                <w:b/>
                <w:color w:val="auto"/>
                <w:spacing w:val="20"/>
                <w:sz w:val="18"/>
                <w:szCs w:val="18"/>
              </w:rPr>
            </w:pPr>
            <w:r>
              <w:rPr>
                <w:rFonts w:ascii="仿宋" w:hAnsi="仿宋" w:eastAsia="仿宋"/>
                <w:b/>
                <w:color w:val="auto"/>
                <w:spacing w:val="20"/>
                <w:sz w:val="18"/>
                <w:szCs w:val="18"/>
              </w:rPr>
              <w:t>176</w:t>
            </w:r>
          </w:p>
        </w:tc>
        <w:tc>
          <w:tcPr>
            <w:tcW w:w="780" w:type="dxa"/>
            <w:tcBorders>
              <w:bottom w:val="single" w:color="auto" w:sz="4" w:space="0"/>
            </w:tcBorders>
            <w:vAlign w:val="center"/>
          </w:tcPr>
          <w:p>
            <w:pPr>
              <w:widowControl/>
              <w:jc w:val="center"/>
              <w:rPr>
                <w:rFonts w:ascii="仿宋" w:hAnsi="仿宋" w:eastAsia="仿宋"/>
                <w:b/>
                <w:color w:val="auto"/>
                <w:spacing w:val="20"/>
                <w:sz w:val="18"/>
                <w:szCs w:val="18"/>
              </w:rPr>
            </w:pPr>
          </w:p>
        </w:tc>
        <w:tc>
          <w:tcPr>
            <w:tcW w:w="1334" w:type="dxa"/>
            <w:tcBorders>
              <w:bottom w:val="single" w:color="auto" w:sz="4" w:space="0"/>
            </w:tcBorders>
            <w:vAlign w:val="center"/>
          </w:tcPr>
          <w:p>
            <w:pPr>
              <w:widowControl/>
              <w:jc w:val="center"/>
              <w:rPr>
                <w:rFonts w:ascii="仿宋" w:hAnsi="仿宋" w:eastAsia="仿宋"/>
                <w:b/>
                <w:color w:val="auto"/>
                <w:spacing w:val="20"/>
                <w:sz w:val="18"/>
                <w:szCs w:val="18"/>
              </w:rPr>
            </w:pPr>
            <w:r>
              <w:rPr>
                <w:rFonts w:hint="eastAsia" w:ascii="仿宋" w:hAnsi="仿宋" w:eastAsia="仿宋"/>
                <w:b/>
                <w:color w:val="auto"/>
                <w:spacing w:val="20"/>
                <w:sz w:val="18"/>
                <w:szCs w:val="18"/>
              </w:rPr>
              <w:t>-</w:t>
            </w:r>
          </w:p>
        </w:tc>
        <w:tc>
          <w:tcPr>
            <w:tcW w:w="734" w:type="dxa"/>
            <w:tcBorders>
              <w:bottom w:val="single" w:color="auto" w:sz="4" w:space="0"/>
            </w:tcBorders>
            <w:vAlign w:val="center"/>
          </w:tcPr>
          <w:p>
            <w:pPr>
              <w:widowControl/>
              <w:jc w:val="center"/>
              <w:rPr>
                <w:rFonts w:ascii="仿宋" w:hAnsi="仿宋" w:eastAsia="仿宋"/>
                <w:b/>
                <w:color w:val="auto"/>
                <w:spacing w:val="20"/>
                <w:sz w:val="18"/>
                <w:szCs w:val="18"/>
              </w:rPr>
            </w:pPr>
            <w:r>
              <w:rPr>
                <w:rFonts w:hint="eastAsia" w:ascii="仿宋" w:hAnsi="仿宋" w:eastAsia="仿宋"/>
                <w:b/>
                <w:color w:val="auto"/>
                <w:spacing w:val="20"/>
                <w:sz w:val="18"/>
                <w:szCs w:val="18"/>
              </w:rPr>
              <w:t>-</w:t>
            </w:r>
          </w:p>
        </w:tc>
      </w:tr>
    </w:tbl>
    <w:p>
      <w:pPr>
        <w:widowControl/>
        <w:spacing w:line="360" w:lineRule="auto"/>
        <w:rPr>
          <w:bCs/>
          <w:sz w:val="24"/>
          <w:szCs w:val="24"/>
        </w:rPr>
      </w:pPr>
      <w:r>
        <w:rPr>
          <w:rFonts w:hint="eastAsia"/>
          <w:bCs/>
          <w:sz w:val="24"/>
          <w:szCs w:val="24"/>
        </w:rPr>
        <w:t>备注：</w:t>
      </w:r>
    </w:p>
    <w:p>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pPr>
        <w:widowControl/>
        <w:rPr>
          <w:bCs/>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rPr>
        <w:t>课程代码由教务处统一编制；“开课学期”根据</w:t>
      </w:r>
      <w:r>
        <w:rPr>
          <w:rFonts w:ascii="仿宋_GB2312" w:eastAsia="仿宋_GB2312"/>
          <w:sz w:val="24"/>
          <w:szCs w:val="24"/>
        </w:rPr>
        <w:t>4</w:t>
      </w:r>
      <w:r>
        <w:rPr>
          <w:rFonts w:hint="eastAsia" w:ascii="仿宋_GB2312" w:eastAsia="仿宋_GB2312"/>
          <w:sz w:val="24"/>
          <w:szCs w:val="24"/>
        </w:rPr>
        <w:t>年制内实际开课学期填写1-1、1-2、2-1、2-2、3</w:t>
      </w:r>
      <w:r>
        <w:rPr>
          <w:rFonts w:ascii="Cambria" w:hAnsi="Cambria" w:eastAsia="仿宋_GB2312"/>
          <w:sz w:val="24"/>
          <w:szCs w:val="24"/>
        </w:rPr>
        <w:t>-1</w:t>
      </w:r>
      <w:r>
        <w:rPr>
          <w:rFonts w:hint="eastAsia" w:ascii="Cambria" w:hAnsi="Cambria" w:eastAsia="仿宋_GB2312"/>
          <w:sz w:val="24"/>
          <w:szCs w:val="24"/>
        </w:rPr>
        <w:t>、3</w:t>
      </w:r>
      <w:r>
        <w:rPr>
          <w:rFonts w:ascii="Cambria" w:hAnsi="Cambria" w:eastAsia="仿宋_GB2312"/>
          <w:sz w:val="24"/>
          <w:szCs w:val="24"/>
        </w:rPr>
        <w:t>-2</w:t>
      </w:r>
      <w:r>
        <w:rPr>
          <w:rFonts w:hint="eastAsia" w:ascii="Cambria" w:hAnsi="Cambria" w:eastAsia="仿宋_GB2312"/>
          <w:sz w:val="24"/>
          <w:szCs w:val="24"/>
        </w:rPr>
        <w:t>、4</w:t>
      </w:r>
      <w:r>
        <w:rPr>
          <w:rFonts w:ascii="Cambria" w:hAnsi="Cambria" w:eastAsia="仿宋_GB2312"/>
          <w:sz w:val="24"/>
          <w:szCs w:val="24"/>
        </w:rPr>
        <w:t>-1</w:t>
      </w:r>
      <w:r>
        <w:rPr>
          <w:rFonts w:hint="eastAsia" w:ascii="Cambria" w:hAnsi="Cambria" w:eastAsia="仿宋_GB2312"/>
          <w:sz w:val="24"/>
          <w:szCs w:val="24"/>
        </w:rPr>
        <w:t>、4</w:t>
      </w:r>
      <w:r>
        <w:rPr>
          <w:rFonts w:ascii="Cambria" w:hAnsi="Cambria" w:eastAsia="仿宋_GB2312"/>
          <w:sz w:val="24"/>
          <w:szCs w:val="24"/>
        </w:rPr>
        <w:t>-2</w:t>
      </w:r>
      <w:r>
        <w:rPr>
          <w:rFonts w:hint="eastAsia" w:ascii="仿宋_GB2312" w:eastAsia="仿宋_GB2312"/>
          <w:sz w:val="24"/>
          <w:szCs w:val="24"/>
        </w:rPr>
        <w:t>填写，“考核方式”填写考试、考查</w:t>
      </w:r>
      <w:r>
        <w:rPr>
          <w:rFonts w:hint="eastAsia" w:ascii="宋体" w:hAnsi="宋体" w:cs="宋体"/>
          <w:sz w:val="24"/>
          <w:szCs w:val="24"/>
        </w:rPr>
        <w:t>；</w:t>
      </w:r>
    </w:p>
    <w:p>
      <w:pPr>
        <w:widowControl/>
        <w:rPr>
          <w:bCs/>
          <w:sz w:val="24"/>
          <w:szCs w:val="24"/>
        </w:rPr>
      </w:pPr>
      <w:r>
        <w:rPr>
          <w:rFonts w:hint="eastAsia" w:ascii="仿宋_GB2312" w:eastAsia="仿宋_GB2312"/>
          <w:sz w:val="24"/>
          <w:szCs w:val="24"/>
        </w:rPr>
        <w:t>3.</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p>
    <w:p>
      <w:pPr>
        <w:widowControl/>
        <w:spacing w:line="360" w:lineRule="auto"/>
        <w:ind w:firstLine="598" w:firstLineChars="187"/>
        <w:jc w:val="left"/>
        <w:rPr>
          <w:rFonts w:ascii="黑体" w:hAnsi="黑体" w:eastAsia="黑体" w:cs="黑体"/>
          <w:bCs/>
          <w:sz w:val="28"/>
          <w:szCs w:val="28"/>
        </w:rPr>
      </w:pPr>
      <w:r>
        <w:rPr>
          <w:sz w:val="32"/>
        </w:rPr>
        <w:br w:type="page"/>
      </w:r>
      <w:r>
        <w:rPr>
          <w:rFonts w:hint="eastAsia" w:ascii="黑体" w:hAnsi="黑体" w:eastAsia="黑体" w:cs="黑体"/>
          <w:bCs/>
          <w:sz w:val="28"/>
          <w:szCs w:val="28"/>
        </w:rPr>
        <w:t>六、课程简介</w:t>
      </w:r>
    </w:p>
    <w:p>
      <w:pPr>
        <w:widowControl/>
        <w:spacing w:line="400" w:lineRule="exact"/>
        <w:ind w:firstLine="560" w:firstLineChars="200"/>
        <w:rPr>
          <w:rFonts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6"/>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91"/>
        <w:gridCol w:w="5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110" w:type="dxa"/>
            <w:tcBorders>
              <w:top w:val="single" w:color="auto" w:sz="4" w:space="0"/>
            </w:tcBorders>
            <w:vAlign w:val="center"/>
          </w:tcPr>
          <w:p>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序号</w:t>
            </w:r>
          </w:p>
        </w:tc>
        <w:tc>
          <w:tcPr>
            <w:tcW w:w="2191" w:type="dxa"/>
            <w:tcBorders>
              <w:top w:val="single" w:color="auto" w:sz="4" w:space="0"/>
            </w:tcBorders>
            <w:vAlign w:val="center"/>
          </w:tcPr>
          <w:p>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5849" w:type="dxa"/>
            <w:tcBorders>
              <w:top w:val="single" w:color="auto" w:sz="4" w:space="0"/>
              <w:bottom w:val="single" w:color="auto" w:sz="4" w:space="0"/>
            </w:tcBorders>
            <w:vAlign w:val="center"/>
          </w:tcPr>
          <w:p>
            <w:pPr>
              <w:widowControl/>
              <w:jc w:val="center"/>
              <w:rPr>
                <w:rFonts w:ascii="黑体" w:hAnsi="黑体" w:eastAsia="黑体" w:cs="黑体"/>
                <w:bCs/>
                <w:sz w:val="28"/>
                <w:szCs w:val="28"/>
              </w:rPr>
            </w:pPr>
            <w:r>
              <w:rPr>
                <w:rFonts w:hint="eastAsia" w:ascii="黑体" w:hAnsi="黑体" w:eastAsia="黑体" w:cs="黑体"/>
                <w:b/>
                <w:spacing w:val="20"/>
                <w:sz w:val="28"/>
                <w:szCs w:val="28"/>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9" w:hRule="exact"/>
          <w:jc w:val="center"/>
        </w:trPr>
        <w:tc>
          <w:tcPr>
            <w:tcW w:w="1110" w:type="dxa"/>
            <w:vAlign w:val="center"/>
          </w:tcPr>
          <w:p>
            <w:pPr>
              <w:widowControl/>
              <w:spacing w:line="276" w:lineRule="auto"/>
              <w:jc w:val="center"/>
              <w:rPr>
                <w:rFonts w:ascii="宋体" w:hAnsi="宋体"/>
                <w:bCs/>
                <w:sz w:val="24"/>
                <w:szCs w:val="24"/>
              </w:rPr>
            </w:pPr>
            <w:r>
              <w:rPr>
                <w:rFonts w:hint="eastAsia" w:ascii="宋体" w:hAnsi="宋体"/>
                <w:bCs/>
                <w:sz w:val="24"/>
                <w:szCs w:val="24"/>
              </w:rPr>
              <w:t>1</w:t>
            </w:r>
          </w:p>
        </w:tc>
        <w:tc>
          <w:tcPr>
            <w:tcW w:w="2191" w:type="dxa"/>
            <w:vAlign w:val="center"/>
          </w:tcPr>
          <w:p>
            <w:pPr>
              <w:widowControl/>
              <w:spacing w:line="276" w:lineRule="auto"/>
              <w:jc w:val="left"/>
              <w:rPr>
                <w:rFonts w:ascii="宋体" w:hAnsi="宋体"/>
                <w:bCs/>
                <w:spacing w:val="20"/>
                <w:sz w:val="24"/>
                <w:szCs w:val="24"/>
                <w:lang w:val="zh-CN"/>
              </w:rPr>
            </w:pPr>
            <w:r>
              <w:rPr>
                <w:rFonts w:hint="eastAsia" w:ascii="宋体" w:hAnsi="宋体"/>
                <w:bCs/>
                <w:spacing w:val="20"/>
                <w:sz w:val="24"/>
                <w:szCs w:val="24"/>
              </w:rPr>
              <w:t>数字媒介素养</w:t>
            </w:r>
          </w:p>
        </w:tc>
        <w:tc>
          <w:tcPr>
            <w:tcW w:w="5849" w:type="dxa"/>
            <w:tcBorders>
              <w:top w:val="single" w:color="auto" w:sz="4" w:space="0"/>
              <w:bottom w:val="single" w:color="auto" w:sz="4" w:space="0"/>
            </w:tcBorders>
            <w:vAlign w:val="center"/>
          </w:tcPr>
          <w:p>
            <w:pPr>
              <w:tabs>
                <w:tab w:val="left" w:pos="4111"/>
              </w:tabs>
              <w:spacing w:line="360" w:lineRule="auto"/>
              <w:ind w:firstLine="480" w:firstLineChars="200"/>
              <w:rPr>
                <w:rFonts w:ascii="宋体" w:hAnsi="宋体"/>
                <w:bCs/>
                <w:sz w:val="24"/>
                <w:szCs w:val="24"/>
              </w:rPr>
            </w:pPr>
            <w:r>
              <w:rPr>
                <w:rFonts w:hint="eastAsia" w:ascii="宋体" w:hAnsi="宋体"/>
                <w:bCs/>
                <w:sz w:val="24"/>
                <w:szCs w:val="24"/>
              </w:rPr>
              <w:t>本课程将从媒介观念的演进、媒介系统的渗透、媒介时空的转型、媒介技术的反思等引人入胜的问题入手，帮助学生理解媒介逻辑正如何隐形地塑造人类社会生活，引导学生掌握一种“以媒介为入射角重新观照世界”的能力。在此基础上，进一步突出社交媒体这一具象的数字媒介形态，集中讨论其所形塑的用户、平台、技术以及相关分析方法，探究数字媒介与社交媒体对人类社会生活的全面影响。课程以专题讲授（共计16个专题）为主，辅以材料阅读、小组讨论等形式，让学生掌握基础知识的同时，还能运用前沿理论及方法对数字媒介社会展开深入的观察与系统的研究，以此作为本校学生更为熟悉的经济逻辑或政治逻辑的有益补充。</w:t>
            </w:r>
          </w:p>
          <w:p>
            <w:pPr>
              <w:widowControl/>
              <w:spacing w:line="360" w:lineRule="auto"/>
              <w:jc w:val="left"/>
              <w:rPr>
                <w:rFonts w:ascii="宋体" w:hAnsi="宋体"/>
                <w:bCs/>
                <w:sz w:val="24"/>
                <w:szCs w:val="24"/>
              </w:rPr>
            </w:pPr>
          </w:p>
          <w:p>
            <w:pPr>
              <w:widowControl/>
              <w:spacing w:line="360" w:lineRule="auto"/>
              <w:jc w:val="left"/>
              <w:rPr>
                <w:rFonts w:ascii="宋体" w:hAnsi="宋体"/>
                <w:bCs/>
                <w:sz w:val="24"/>
                <w:szCs w:val="24"/>
              </w:rPr>
            </w:pPr>
          </w:p>
          <w:p>
            <w:pPr>
              <w:widowControl/>
              <w:spacing w:line="360" w:lineRule="auto"/>
              <w:jc w:val="left"/>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7" w:hRule="exact"/>
          <w:jc w:val="center"/>
        </w:trPr>
        <w:tc>
          <w:tcPr>
            <w:tcW w:w="1110" w:type="dxa"/>
            <w:vAlign w:val="center"/>
          </w:tcPr>
          <w:p>
            <w:pPr>
              <w:widowControl/>
              <w:spacing w:line="276" w:lineRule="auto"/>
              <w:jc w:val="center"/>
              <w:rPr>
                <w:rFonts w:ascii="宋体" w:hAnsi="宋体"/>
                <w:bCs/>
                <w:sz w:val="24"/>
                <w:szCs w:val="24"/>
              </w:rPr>
            </w:pPr>
            <w:r>
              <w:rPr>
                <w:rFonts w:hint="eastAsia" w:ascii="宋体" w:hAnsi="宋体"/>
                <w:bCs/>
                <w:sz w:val="24"/>
                <w:szCs w:val="24"/>
              </w:rPr>
              <w:t>2</w:t>
            </w:r>
          </w:p>
        </w:tc>
        <w:tc>
          <w:tcPr>
            <w:tcW w:w="2191" w:type="dxa"/>
            <w:vAlign w:val="center"/>
          </w:tcPr>
          <w:p>
            <w:pPr>
              <w:widowControl/>
              <w:spacing w:line="276" w:lineRule="auto"/>
              <w:jc w:val="left"/>
              <w:rPr>
                <w:rFonts w:ascii="宋体" w:hAnsi="宋体"/>
                <w:bCs/>
                <w:spacing w:val="20"/>
                <w:sz w:val="24"/>
                <w:szCs w:val="24"/>
              </w:rPr>
            </w:pPr>
            <w:r>
              <w:rPr>
                <w:rFonts w:hint="eastAsia" w:ascii="宋体" w:hAnsi="宋体"/>
                <w:bCs/>
                <w:spacing w:val="20"/>
                <w:sz w:val="24"/>
                <w:szCs w:val="24"/>
              </w:rPr>
              <w:t>未来媒体与智能传播</w:t>
            </w:r>
          </w:p>
        </w:tc>
        <w:tc>
          <w:tcPr>
            <w:tcW w:w="5849" w:type="dxa"/>
            <w:tcBorders>
              <w:top w:val="single" w:color="auto" w:sz="4" w:space="0"/>
              <w:bottom w:val="single" w:color="auto" w:sz="4" w:space="0"/>
            </w:tcBorders>
            <w:vAlign w:val="center"/>
          </w:tcPr>
          <w:p>
            <w:pPr>
              <w:tabs>
                <w:tab w:val="left" w:pos="4111"/>
              </w:tabs>
              <w:spacing w:line="360" w:lineRule="auto"/>
              <w:rPr>
                <w:rFonts w:ascii="宋体" w:hAnsi="宋体"/>
                <w:bCs/>
                <w:sz w:val="24"/>
                <w:szCs w:val="24"/>
              </w:rPr>
            </w:pPr>
            <w:r>
              <w:rPr>
                <w:rFonts w:hint="eastAsia" w:ascii="宋体" w:hAnsi="宋体"/>
                <w:bCs/>
                <w:sz w:val="24"/>
                <w:szCs w:val="24"/>
              </w:rPr>
              <w:t>本课程是一门在梳理大数据、物联网、VR、云计算等传播技术更新迭代的基础上大胆探索未来媒体发展方向的创造性实践课程，使学生能够在认识各类新兴媒体、智能媒体现象的基础上举一反三、触类旁通，启发学生的发散性和批判性思维。同时，它也是一门运用传播学理论透析智能传播的基本特性、发展规律及未来趋势的系统性理论课程，提供最具有前沿色彩的思想和实践指导。</w:t>
            </w:r>
          </w:p>
          <w:p>
            <w:pPr>
              <w:tabs>
                <w:tab w:val="left" w:pos="4111"/>
              </w:tabs>
              <w:spacing w:line="360" w:lineRule="auto"/>
              <w:ind w:firstLine="480" w:firstLineChars="200"/>
              <w:rPr>
                <w:rFonts w:ascii="宋体" w:hAnsi="宋体"/>
                <w:bCs/>
                <w:sz w:val="24"/>
                <w:szCs w:val="24"/>
              </w:rPr>
            </w:pPr>
            <w:r>
              <w:rPr>
                <w:rFonts w:hint="eastAsia" w:ascii="宋体" w:hAnsi="宋体"/>
                <w:bCs/>
                <w:sz w:val="24"/>
                <w:szCs w:val="24"/>
              </w:rPr>
              <w:t>理论学习1</w:t>
            </w:r>
            <w:r>
              <w:rPr>
                <w:rFonts w:ascii="宋体" w:hAnsi="宋体"/>
                <w:bCs/>
                <w:sz w:val="24"/>
                <w:szCs w:val="24"/>
              </w:rPr>
              <w:t>6</w:t>
            </w:r>
            <w:r>
              <w:rPr>
                <w:rFonts w:hint="eastAsia" w:ascii="宋体" w:hAnsi="宋体"/>
                <w:bCs/>
                <w:sz w:val="24"/>
                <w:szCs w:val="24"/>
              </w:rPr>
              <w:t>学时，以校内教师讲授智能传播理论为主；实践学习1</w:t>
            </w:r>
            <w:r>
              <w:rPr>
                <w:rFonts w:ascii="宋体" w:hAnsi="宋体"/>
                <w:bCs/>
                <w:sz w:val="24"/>
                <w:szCs w:val="24"/>
              </w:rPr>
              <w:t>6</w:t>
            </w:r>
            <w:r>
              <w:rPr>
                <w:rFonts w:hint="eastAsia" w:ascii="宋体" w:hAnsi="宋体"/>
                <w:bCs/>
                <w:sz w:val="24"/>
                <w:szCs w:val="24"/>
              </w:rPr>
              <w:t>学时，以校外导师讲授未来媒体的实践应用和行业发展为主，此部分主要与校部共建的实习基地经济日报社、中经网合作。</w:t>
            </w:r>
          </w:p>
          <w:p>
            <w:pPr>
              <w:widowControl/>
              <w:spacing w:line="360" w:lineRule="auto"/>
              <w:jc w:val="left"/>
              <w:rPr>
                <w:rFonts w:ascii="宋体" w:hAnsi="宋体"/>
                <w:bCs/>
                <w:sz w:val="24"/>
                <w:szCs w:val="24"/>
              </w:rPr>
            </w:pPr>
          </w:p>
          <w:p>
            <w:pPr>
              <w:widowControl/>
              <w:spacing w:line="360" w:lineRule="auto"/>
              <w:jc w:val="left"/>
              <w:rPr>
                <w:rFonts w:ascii="宋体" w:hAnsi="宋体"/>
                <w:bCs/>
                <w:sz w:val="24"/>
                <w:szCs w:val="24"/>
              </w:rPr>
            </w:pPr>
          </w:p>
          <w:p>
            <w:pPr>
              <w:widowControl/>
              <w:spacing w:line="360" w:lineRule="auto"/>
              <w:jc w:val="left"/>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9" w:hRule="exact"/>
          <w:jc w:val="center"/>
        </w:trPr>
        <w:tc>
          <w:tcPr>
            <w:tcW w:w="1110" w:type="dxa"/>
            <w:vAlign w:val="center"/>
          </w:tcPr>
          <w:p>
            <w:pPr>
              <w:widowControl/>
              <w:spacing w:line="276" w:lineRule="auto"/>
              <w:jc w:val="center"/>
              <w:rPr>
                <w:rFonts w:ascii="宋体" w:hAnsi="宋体"/>
                <w:bCs/>
                <w:sz w:val="24"/>
                <w:szCs w:val="24"/>
              </w:rPr>
            </w:pPr>
            <w:r>
              <w:rPr>
                <w:rFonts w:hint="eastAsia" w:ascii="宋体" w:hAnsi="宋体"/>
                <w:bCs/>
                <w:sz w:val="24"/>
                <w:szCs w:val="24"/>
              </w:rPr>
              <w:t>3</w:t>
            </w:r>
          </w:p>
        </w:tc>
        <w:tc>
          <w:tcPr>
            <w:tcW w:w="2191" w:type="dxa"/>
            <w:vAlign w:val="center"/>
          </w:tcPr>
          <w:p>
            <w:pPr>
              <w:widowControl/>
              <w:spacing w:line="276" w:lineRule="auto"/>
              <w:jc w:val="left"/>
              <w:rPr>
                <w:rFonts w:ascii="宋体" w:hAnsi="宋体"/>
                <w:bCs/>
                <w:spacing w:val="20"/>
                <w:sz w:val="24"/>
                <w:szCs w:val="24"/>
              </w:rPr>
            </w:pPr>
            <w:r>
              <w:rPr>
                <w:rFonts w:hint="eastAsia" w:ascii="宋体" w:hAnsi="宋体"/>
                <w:bCs/>
                <w:spacing w:val="20"/>
                <w:sz w:val="24"/>
                <w:szCs w:val="24"/>
              </w:rPr>
              <w:t>新媒体广告全景</w:t>
            </w:r>
          </w:p>
        </w:tc>
        <w:tc>
          <w:tcPr>
            <w:tcW w:w="5849" w:type="dxa"/>
            <w:tcBorders>
              <w:top w:val="single" w:color="auto" w:sz="4" w:space="0"/>
              <w:bottom w:val="single" w:color="auto" w:sz="4" w:space="0"/>
            </w:tcBorders>
            <w:vAlign w:val="center"/>
          </w:tcPr>
          <w:p>
            <w:pPr>
              <w:tabs>
                <w:tab w:val="left" w:pos="4111"/>
              </w:tabs>
              <w:spacing w:line="360" w:lineRule="auto"/>
              <w:ind w:firstLine="480" w:firstLineChars="200"/>
              <w:rPr>
                <w:rFonts w:ascii="宋体" w:hAnsi="宋体"/>
                <w:bCs/>
                <w:sz w:val="24"/>
                <w:szCs w:val="24"/>
              </w:rPr>
            </w:pPr>
            <w:r>
              <w:rPr>
                <w:rFonts w:ascii="宋体" w:hAnsi="宋体"/>
                <w:bCs/>
                <w:sz w:val="24"/>
                <w:szCs w:val="24"/>
              </w:rPr>
              <w:t>课程</w:t>
            </w:r>
            <w:r>
              <w:rPr>
                <w:rFonts w:hint="eastAsia" w:ascii="宋体" w:hAnsi="宋体"/>
                <w:bCs/>
                <w:sz w:val="24"/>
                <w:szCs w:val="24"/>
              </w:rPr>
              <w:t>将</w:t>
            </w:r>
            <w:r>
              <w:rPr>
                <w:rFonts w:ascii="宋体" w:hAnsi="宋体"/>
                <w:bCs/>
                <w:sz w:val="24"/>
                <w:szCs w:val="24"/>
              </w:rPr>
              <w:t>带领学生以发展的视角深度探索数智化时代最前沿的广告革新、消费者心理与技术驱动下的策划创意实践</w:t>
            </w:r>
            <w:r>
              <w:rPr>
                <w:rFonts w:hint="eastAsia" w:ascii="宋体" w:hAnsi="宋体"/>
                <w:bCs/>
                <w:sz w:val="24"/>
                <w:szCs w:val="24"/>
              </w:rPr>
              <w:t>，</w:t>
            </w:r>
            <w:r>
              <w:rPr>
                <w:rFonts w:ascii="宋体" w:hAnsi="宋体"/>
                <w:bCs/>
                <w:sz w:val="24"/>
                <w:szCs w:val="24"/>
              </w:rPr>
              <w:t>并结合行业需求为学生提供实践能力的切实提升。学生将在本课程中把握新媒体技术</w:t>
            </w:r>
            <w:r>
              <w:rPr>
                <w:rFonts w:hint="eastAsia" w:ascii="宋体" w:hAnsi="宋体"/>
                <w:bCs/>
                <w:sz w:val="24"/>
                <w:szCs w:val="24"/>
              </w:rPr>
              <w:t>与</w:t>
            </w:r>
            <w:r>
              <w:rPr>
                <w:rFonts w:ascii="宋体" w:hAnsi="宋体"/>
                <w:bCs/>
                <w:sz w:val="24"/>
                <w:szCs w:val="24"/>
              </w:rPr>
              <w:t>广告生产的关系逻辑</w:t>
            </w:r>
            <w:r>
              <w:rPr>
                <w:rFonts w:hint="eastAsia" w:ascii="宋体" w:hAnsi="宋体"/>
                <w:bCs/>
                <w:sz w:val="24"/>
                <w:szCs w:val="24"/>
              </w:rPr>
              <w:t>；</w:t>
            </w:r>
            <w:r>
              <w:rPr>
                <w:rFonts w:ascii="宋体" w:hAnsi="宋体"/>
                <w:bCs/>
                <w:sz w:val="24"/>
                <w:szCs w:val="24"/>
              </w:rPr>
              <w:t>还将以消费者心理与行为学研究为基础，探讨数智化时代消费者行为学的发展趋势和理论方法之深刻变化</w:t>
            </w:r>
            <w:r>
              <w:rPr>
                <w:rFonts w:hint="eastAsia" w:ascii="宋体" w:hAnsi="宋体"/>
                <w:bCs/>
                <w:sz w:val="24"/>
                <w:szCs w:val="24"/>
              </w:rPr>
              <w:t>。</w:t>
            </w:r>
          </w:p>
          <w:p>
            <w:pPr>
              <w:tabs>
                <w:tab w:val="left" w:pos="4111"/>
              </w:tabs>
              <w:spacing w:line="360" w:lineRule="auto"/>
              <w:ind w:firstLine="480" w:firstLineChars="200"/>
              <w:rPr>
                <w:rFonts w:ascii="宋体" w:hAnsi="宋体"/>
                <w:bCs/>
                <w:sz w:val="24"/>
                <w:szCs w:val="24"/>
              </w:rPr>
            </w:pPr>
            <w:r>
              <w:rPr>
                <w:rFonts w:ascii="宋体" w:hAnsi="宋体"/>
                <w:bCs/>
                <w:sz w:val="24"/>
                <w:szCs w:val="24"/>
              </w:rPr>
              <w:t>作为校企合作赋能类课程，《新媒体广告全景》将与字节跳动旗下的巨量引擎合作认证体系合作，以线上线下融合方式授课。学生可在包含电商、运营、广告、创意等四个类目的12个认证方向中自主选择，完成课程并通过认证考试即可获得由平台方颁发的认证证书（该认证证书为“一岗双认”模式，在获得平台认证的同时获北京人社部门职业技能等级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3" w:hRule="exact"/>
          <w:jc w:val="center"/>
        </w:trPr>
        <w:tc>
          <w:tcPr>
            <w:tcW w:w="1110" w:type="dxa"/>
            <w:vAlign w:val="center"/>
          </w:tcPr>
          <w:p>
            <w:pPr>
              <w:widowControl/>
              <w:spacing w:line="276" w:lineRule="auto"/>
              <w:jc w:val="center"/>
              <w:rPr>
                <w:rFonts w:ascii="宋体" w:hAnsi="宋体"/>
                <w:bCs/>
                <w:sz w:val="24"/>
                <w:szCs w:val="24"/>
              </w:rPr>
            </w:pPr>
            <w:r>
              <w:rPr>
                <w:rFonts w:hint="eastAsia" w:ascii="宋体" w:hAnsi="宋体"/>
                <w:bCs/>
                <w:sz w:val="24"/>
                <w:szCs w:val="24"/>
              </w:rPr>
              <w:t>4</w:t>
            </w:r>
          </w:p>
        </w:tc>
        <w:tc>
          <w:tcPr>
            <w:tcW w:w="2191" w:type="dxa"/>
            <w:vAlign w:val="center"/>
          </w:tcPr>
          <w:p>
            <w:pPr>
              <w:widowControl/>
              <w:spacing w:line="276" w:lineRule="auto"/>
              <w:jc w:val="left"/>
              <w:rPr>
                <w:rFonts w:ascii="宋体" w:hAnsi="宋体"/>
                <w:bCs/>
                <w:spacing w:val="20"/>
                <w:sz w:val="24"/>
                <w:szCs w:val="24"/>
              </w:rPr>
            </w:pPr>
            <w:r>
              <w:rPr>
                <w:rFonts w:hint="eastAsia" w:ascii="宋体" w:hAnsi="宋体"/>
                <w:bCs/>
                <w:color w:val="FF0000"/>
                <w:spacing w:val="20"/>
                <w:sz w:val="24"/>
                <w:szCs w:val="24"/>
              </w:rPr>
              <w:t>网络影视产品运营管理</w:t>
            </w:r>
          </w:p>
        </w:tc>
        <w:tc>
          <w:tcPr>
            <w:tcW w:w="5849" w:type="dxa"/>
            <w:tcBorders>
              <w:top w:val="single" w:color="auto" w:sz="4" w:space="0"/>
              <w:bottom w:val="single" w:color="auto" w:sz="4" w:space="0"/>
            </w:tcBorders>
            <w:vAlign w:val="center"/>
          </w:tcPr>
          <w:p>
            <w:pPr>
              <w:tabs>
                <w:tab w:val="left" w:pos="4111"/>
              </w:tabs>
              <w:spacing w:line="360" w:lineRule="auto"/>
              <w:ind w:firstLine="480" w:firstLineChars="200"/>
              <w:rPr>
                <w:rFonts w:ascii="宋体" w:hAnsi="宋体"/>
                <w:bCs/>
                <w:color w:val="FF0000"/>
                <w:sz w:val="24"/>
                <w:szCs w:val="24"/>
              </w:rPr>
            </w:pPr>
            <w:r>
              <w:rPr>
                <w:rFonts w:hint="eastAsia" w:ascii="宋体" w:hAnsi="宋体"/>
                <w:bCs/>
                <w:color w:val="FF0000"/>
                <w:sz w:val="24"/>
                <w:szCs w:val="24"/>
              </w:rPr>
              <w:t>本课程的主要内容是以整个影视产业链（创、投、制、宣、发、放、衍）为结构脉络，教授学生从整体上把握网络影视产品的运作规律和产业链上各个环节的性质特点，并能够运用媒介经营管理学的思维理念，借鉴国外网络影视产品运营管理的经典案例与成功经验，结合我国网络影视产业的发展现状，掌握适合我国网络影视产品运营管理的创新模式及方式方法。</w:t>
            </w:r>
          </w:p>
          <w:p>
            <w:pPr>
              <w:tabs>
                <w:tab w:val="left" w:pos="4111"/>
              </w:tabs>
              <w:spacing w:line="360" w:lineRule="auto"/>
              <w:ind w:firstLine="480" w:firstLineChars="200"/>
              <w:rPr>
                <w:rFonts w:ascii="宋体" w:hAnsi="宋体"/>
                <w:bCs/>
                <w:color w:val="FF0000"/>
                <w:sz w:val="24"/>
                <w:szCs w:val="24"/>
              </w:rPr>
            </w:pPr>
            <w:r>
              <w:rPr>
                <w:rFonts w:hint="eastAsia" w:ascii="宋体" w:hAnsi="宋体"/>
                <w:bCs/>
                <w:color w:val="FF0000"/>
                <w:sz w:val="24"/>
                <w:szCs w:val="24"/>
              </w:rPr>
              <w:t>在教学设计上，将理论分析与实践能力相结合。通过引入网络影视产品运营管理的典型案例，带领学生以案例研究、小组讨论、专家进课堂等形式提升学习兴趣，养成自主学习和主动探索的学习习惯。除此之外，针对数字时代背景下的电影产业变革，本课程从影视产品的角度出发，渗透“电影产业链重构”和“电影价值链重构”的相关内容，引导学生关注当下数字技术对于电影产业各个环节的影响与重塑，以更好地开阔学生视野，贴合影视产业未来的发展趋势。</w:t>
            </w:r>
          </w:p>
          <w:p>
            <w:pPr>
              <w:widowControl/>
              <w:spacing w:line="360" w:lineRule="auto"/>
              <w:jc w:val="left"/>
              <w:rPr>
                <w:rFonts w:ascii="宋体" w:hAnsi="宋体"/>
                <w:bCs/>
                <w:sz w:val="24"/>
                <w:szCs w:val="24"/>
              </w:rPr>
            </w:pPr>
          </w:p>
          <w:p>
            <w:pPr>
              <w:widowControl/>
              <w:spacing w:line="360" w:lineRule="auto"/>
              <w:jc w:val="left"/>
              <w:rPr>
                <w:rFonts w:ascii="宋体" w:hAnsi="宋体"/>
                <w:bCs/>
                <w:sz w:val="24"/>
                <w:szCs w:val="24"/>
              </w:rPr>
            </w:pPr>
          </w:p>
          <w:p>
            <w:pPr>
              <w:widowControl/>
              <w:spacing w:line="360" w:lineRule="auto"/>
              <w:jc w:val="left"/>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8" w:hRule="exact"/>
          <w:jc w:val="center"/>
        </w:trPr>
        <w:tc>
          <w:tcPr>
            <w:tcW w:w="1110" w:type="dxa"/>
            <w:vAlign w:val="center"/>
          </w:tcPr>
          <w:p>
            <w:pPr>
              <w:widowControl/>
              <w:spacing w:line="276" w:lineRule="auto"/>
              <w:jc w:val="center"/>
              <w:rPr>
                <w:rFonts w:ascii="宋体" w:hAnsi="宋体"/>
                <w:bCs/>
                <w:sz w:val="24"/>
                <w:szCs w:val="24"/>
              </w:rPr>
            </w:pPr>
            <w:r>
              <w:rPr>
                <w:rFonts w:hint="eastAsia" w:ascii="宋体" w:hAnsi="宋体"/>
                <w:bCs/>
                <w:sz w:val="24"/>
                <w:szCs w:val="24"/>
              </w:rPr>
              <w:t>5</w:t>
            </w:r>
          </w:p>
        </w:tc>
        <w:tc>
          <w:tcPr>
            <w:tcW w:w="2191" w:type="dxa"/>
            <w:vAlign w:val="center"/>
          </w:tcPr>
          <w:p>
            <w:pPr>
              <w:widowControl/>
              <w:spacing w:line="276" w:lineRule="auto"/>
              <w:jc w:val="left"/>
              <w:rPr>
                <w:rFonts w:ascii="宋体" w:hAnsi="宋体"/>
                <w:bCs/>
                <w:spacing w:val="20"/>
                <w:sz w:val="24"/>
                <w:szCs w:val="24"/>
              </w:rPr>
            </w:pPr>
            <w:r>
              <w:rPr>
                <w:rFonts w:hint="eastAsia" w:ascii="宋体" w:hAnsi="宋体"/>
                <w:bCs/>
                <w:spacing w:val="20"/>
                <w:sz w:val="24"/>
                <w:szCs w:val="24"/>
              </w:rPr>
              <w:t>AIGC视觉创意与未来设计思维</w:t>
            </w:r>
          </w:p>
        </w:tc>
        <w:tc>
          <w:tcPr>
            <w:tcW w:w="5849" w:type="dxa"/>
            <w:tcBorders>
              <w:top w:val="single" w:color="auto" w:sz="4" w:space="0"/>
              <w:bottom w:val="single" w:color="auto" w:sz="4" w:space="0"/>
            </w:tcBorders>
            <w:vAlign w:val="center"/>
          </w:tcPr>
          <w:p>
            <w:pPr>
              <w:tabs>
                <w:tab w:val="left" w:pos="4111"/>
              </w:tabs>
              <w:spacing w:line="360" w:lineRule="auto"/>
              <w:rPr>
                <w:rFonts w:ascii="宋体" w:hAnsi="宋体"/>
                <w:sz w:val="24"/>
              </w:rPr>
            </w:pPr>
            <w:r>
              <w:rPr>
                <w:rFonts w:ascii="宋体" w:hAnsi="宋体"/>
                <w:bCs/>
                <w:sz w:val="24"/>
                <w:szCs w:val="24"/>
              </w:rPr>
              <w:t xml:space="preserve">    </w:t>
            </w:r>
            <w:r>
              <w:rPr>
                <w:rFonts w:hint="eastAsia" w:ascii="宋体" w:hAnsi="宋体"/>
                <w:sz w:val="24"/>
              </w:rPr>
              <w:t>本课程是一门涉及人工智能、创意设计、未来科技和设计思维的综合性课程。该课程旨在培养学生在视觉创意和未来设计思维方面的能力，以适应不断发展的科技和社会需求。本课程包括人工智能的基本原理和应用、创意设计基础、未来设计思维、项目实践四个部分。课程强调设计思维的重要性，培养学生从用户需求出发，发现问题、分析问题和解决问题的能力。使学生了解</w:t>
            </w:r>
            <w:r>
              <w:rPr>
                <w:rFonts w:hint="eastAsia" w:ascii="PingFang-SC-Regular" w:hAnsi="PingFang-SC-Regular" w:cs="Segoe UI"/>
                <w:color w:val="05073B"/>
                <w:sz w:val="23"/>
                <w:szCs w:val="23"/>
              </w:rPr>
              <w:t>AIGC</w:t>
            </w:r>
            <w:r>
              <w:rPr>
                <w:rFonts w:ascii="PingFang-SC-Regular" w:hAnsi="PingFang-SC-Regular" w:cs="Segoe UI"/>
                <w:color w:val="05073B"/>
                <w:sz w:val="23"/>
                <w:szCs w:val="23"/>
              </w:rPr>
              <w:t>技术</w:t>
            </w:r>
            <w:r>
              <w:rPr>
                <w:rFonts w:hint="eastAsia" w:ascii="PingFang-SC-Regular" w:hAnsi="PingFang-SC-Regular" w:cs="Segoe UI"/>
                <w:color w:val="05073B"/>
                <w:sz w:val="23"/>
                <w:szCs w:val="23"/>
              </w:rPr>
              <w:t>的</w:t>
            </w:r>
            <w:r>
              <w:rPr>
                <w:rFonts w:ascii="PingFang-SC-Regular" w:hAnsi="PingFang-SC-Regular" w:cs="Segoe UI"/>
                <w:color w:val="05073B"/>
                <w:sz w:val="23"/>
                <w:szCs w:val="23"/>
              </w:rPr>
              <w:t>应用</w:t>
            </w:r>
            <w:r>
              <w:rPr>
                <w:rFonts w:hint="eastAsia" w:ascii="PingFang-SC-Regular" w:hAnsi="PingFang-SC-Regular" w:cs="Segoe UI"/>
                <w:color w:val="05073B"/>
                <w:sz w:val="23"/>
                <w:szCs w:val="23"/>
              </w:rPr>
              <w:t>领域、</w:t>
            </w:r>
            <w:r>
              <w:rPr>
                <w:rFonts w:hint="eastAsia" w:ascii="宋体" w:hAnsi="宋体"/>
                <w:sz w:val="24"/>
              </w:rPr>
              <w:t>AIGC生图关键词、AIGC生成视频等各种设计品类的相关知识等内容，掌握前沿的AIGC视觉创意方式和技术，实现学生掌握创意设计多样化的AIGC人机共创视觉设计产品的技能。</w:t>
            </w:r>
          </w:p>
          <w:p>
            <w:pPr>
              <w:widowControl/>
              <w:spacing w:line="360" w:lineRule="auto"/>
              <w:jc w:val="left"/>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8" w:hRule="exact"/>
          <w:jc w:val="center"/>
        </w:trPr>
        <w:tc>
          <w:tcPr>
            <w:tcW w:w="1110" w:type="dxa"/>
            <w:vAlign w:val="center"/>
          </w:tcPr>
          <w:p>
            <w:pPr>
              <w:widowControl/>
              <w:spacing w:line="276" w:lineRule="auto"/>
              <w:jc w:val="center"/>
              <w:rPr>
                <w:rFonts w:ascii="宋体" w:hAnsi="宋体"/>
                <w:bCs/>
                <w:sz w:val="24"/>
                <w:szCs w:val="24"/>
              </w:rPr>
            </w:pPr>
            <w:r>
              <w:rPr>
                <w:rFonts w:hint="eastAsia" w:ascii="宋体" w:hAnsi="宋体"/>
                <w:bCs/>
                <w:sz w:val="24"/>
                <w:szCs w:val="24"/>
              </w:rPr>
              <w:t>6</w:t>
            </w:r>
          </w:p>
        </w:tc>
        <w:tc>
          <w:tcPr>
            <w:tcW w:w="2191" w:type="dxa"/>
            <w:vAlign w:val="center"/>
          </w:tcPr>
          <w:p>
            <w:pPr>
              <w:widowControl/>
              <w:spacing w:line="276" w:lineRule="auto"/>
              <w:jc w:val="left"/>
              <w:rPr>
                <w:rFonts w:ascii="宋体" w:hAnsi="宋体"/>
                <w:bCs/>
                <w:spacing w:val="20"/>
                <w:sz w:val="24"/>
                <w:szCs w:val="24"/>
              </w:rPr>
            </w:pPr>
            <w:r>
              <w:rPr>
                <w:rFonts w:hint="eastAsia" w:ascii="宋体" w:hAnsi="宋体"/>
                <w:bCs/>
                <w:spacing w:val="20"/>
                <w:sz w:val="24"/>
                <w:szCs w:val="24"/>
              </w:rPr>
              <w:t>智媒广告与营销实战</w:t>
            </w:r>
          </w:p>
        </w:tc>
        <w:tc>
          <w:tcPr>
            <w:tcW w:w="5849" w:type="dxa"/>
            <w:tcBorders>
              <w:top w:val="single" w:color="auto" w:sz="4" w:space="0"/>
              <w:bottom w:val="single" w:color="auto" w:sz="4" w:space="0"/>
            </w:tcBorders>
            <w:vAlign w:val="center"/>
          </w:tcPr>
          <w:p>
            <w:pPr>
              <w:spacing w:line="360" w:lineRule="auto"/>
              <w:ind w:firstLine="480" w:firstLineChars="200"/>
              <w:jc w:val="left"/>
              <w:rPr>
                <w:rFonts w:ascii="宋体" w:hAnsi="宋体"/>
                <w:bCs/>
                <w:sz w:val="24"/>
                <w:szCs w:val="24"/>
              </w:rPr>
            </w:pPr>
            <w:r>
              <w:rPr>
                <w:rFonts w:hint="eastAsia" w:ascii="宋体" w:hAnsi="宋体"/>
                <w:bCs/>
                <w:sz w:val="24"/>
                <w:szCs w:val="24"/>
              </w:rPr>
              <w:t>本课程涉及数字广告创意、策划、执行与整合营销全流程，通过本课程的学习，使学生较为扎实的把握数字广告策划、广告创意的内容与具体运作方法，掌握数字广告传播过程中的策划方案，使广告活动取得预期效果。该课程由校内老师和行业教师共同授课，外邀蓝色光标、爱德曼国际公关、因赛集团、新榜、南方都市报等头部广告营销机构的营销操盘手现场授课，讲述在营销实战中的方法论、数智时代营销新趋势，并结合当下出圈的营销案例进行亮点剖析。同时结合由中国广告协会指导、南方都市报社主办</w:t>
            </w:r>
            <w:r>
              <w:rPr>
                <w:rFonts w:hint="eastAsia" w:ascii="宋体" w:hAnsi="宋体"/>
                <w:bCs/>
                <w:color w:val="FF0000"/>
                <w:sz w:val="24"/>
                <w:szCs w:val="24"/>
              </w:rPr>
              <w:t>未来金理奖·</w:t>
            </w:r>
            <w:r>
              <w:rPr>
                <w:rFonts w:hint="eastAsia" w:ascii="宋体" w:hAnsi="宋体"/>
                <w:bCs/>
                <w:sz w:val="24"/>
                <w:szCs w:val="24"/>
              </w:rPr>
              <w:t>全国大学生IMC（整合营销传播）大赛</w:t>
            </w:r>
            <w:r>
              <w:rPr>
                <w:rFonts w:hint="eastAsia" w:ascii="宋体" w:hAnsi="宋体"/>
                <w:bCs/>
                <w:color w:val="FF0000"/>
                <w:sz w:val="24"/>
                <w:szCs w:val="24"/>
              </w:rPr>
              <w:t>（或其它奖赛）</w:t>
            </w:r>
            <w:r>
              <w:rPr>
                <w:rFonts w:hint="eastAsia" w:ascii="宋体" w:hAnsi="宋体"/>
                <w:bCs/>
                <w:sz w:val="24"/>
                <w:szCs w:val="24"/>
              </w:rPr>
              <w:t>，进行赛题拆解、规则讲解、模拟提案等，全面综合考核学生在理论学习与实战应用，评价学生的创意策划、整合营销、品牌经营、商业思维、实效转化等多元整合思维。</w:t>
            </w:r>
          </w:p>
        </w:tc>
      </w:tr>
    </w:tbl>
    <w:p/>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PingFang-SC-Regular">
    <w:altName w:val="Cambria"/>
    <w:panose1 w:val="00000000000000000000"/>
    <w:charset w:val="00"/>
    <w:family w:val="roman"/>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yODhkODhlYzU3MWY1YWRiMWQzM2U3MWEwY2I5NWMifQ=="/>
  </w:docVars>
  <w:rsids>
    <w:rsidRoot w:val="0AE32D0C"/>
    <w:rsid w:val="00004E60"/>
    <w:rsid w:val="000555B0"/>
    <w:rsid w:val="000703B8"/>
    <w:rsid w:val="000C14B3"/>
    <w:rsid w:val="000C501A"/>
    <w:rsid w:val="00146E44"/>
    <w:rsid w:val="00155421"/>
    <w:rsid w:val="00281DF6"/>
    <w:rsid w:val="002C764E"/>
    <w:rsid w:val="002D1061"/>
    <w:rsid w:val="00337FC0"/>
    <w:rsid w:val="003509ED"/>
    <w:rsid w:val="00372B72"/>
    <w:rsid w:val="003E7498"/>
    <w:rsid w:val="0040295B"/>
    <w:rsid w:val="0043292D"/>
    <w:rsid w:val="004B5A3E"/>
    <w:rsid w:val="00510278"/>
    <w:rsid w:val="00555EF6"/>
    <w:rsid w:val="005809D3"/>
    <w:rsid w:val="00583F37"/>
    <w:rsid w:val="005C0A96"/>
    <w:rsid w:val="00610ED0"/>
    <w:rsid w:val="006253BA"/>
    <w:rsid w:val="006337E4"/>
    <w:rsid w:val="006C4C87"/>
    <w:rsid w:val="00704DB8"/>
    <w:rsid w:val="007264D6"/>
    <w:rsid w:val="00726D7C"/>
    <w:rsid w:val="0075124D"/>
    <w:rsid w:val="007B05FE"/>
    <w:rsid w:val="008805AE"/>
    <w:rsid w:val="008E0081"/>
    <w:rsid w:val="009063E6"/>
    <w:rsid w:val="00937EFD"/>
    <w:rsid w:val="00991499"/>
    <w:rsid w:val="009A1BAB"/>
    <w:rsid w:val="009C6BFD"/>
    <w:rsid w:val="009D114B"/>
    <w:rsid w:val="00A34F86"/>
    <w:rsid w:val="00A4612B"/>
    <w:rsid w:val="00AA5E37"/>
    <w:rsid w:val="00B529EB"/>
    <w:rsid w:val="00BA5C39"/>
    <w:rsid w:val="00C760CF"/>
    <w:rsid w:val="00CA0614"/>
    <w:rsid w:val="00CA29C3"/>
    <w:rsid w:val="00D05767"/>
    <w:rsid w:val="00D529C8"/>
    <w:rsid w:val="00D9671B"/>
    <w:rsid w:val="00EF5BA2"/>
    <w:rsid w:val="00F12CFE"/>
    <w:rsid w:val="00F16F11"/>
    <w:rsid w:val="00F97684"/>
    <w:rsid w:val="02641DFB"/>
    <w:rsid w:val="0AE32D0C"/>
    <w:rsid w:val="1165300E"/>
    <w:rsid w:val="162D5B2D"/>
    <w:rsid w:val="175A6EDF"/>
    <w:rsid w:val="1EEF22CE"/>
    <w:rsid w:val="21BF3E1B"/>
    <w:rsid w:val="29D33DBA"/>
    <w:rsid w:val="34C2316E"/>
    <w:rsid w:val="3D7106DB"/>
    <w:rsid w:val="40350254"/>
    <w:rsid w:val="45CD0F34"/>
    <w:rsid w:val="46E13E64"/>
    <w:rsid w:val="496038EF"/>
    <w:rsid w:val="4C7E6757"/>
    <w:rsid w:val="595158B5"/>
    <w:rsid w:val="5A842233"/>
    <w:rsid w:val="5C2667BC"/>
    <w:rsid w:val="60E0197E"/>
    <w:rsid w:val="6221580D"/>
    <w:rsid w:val="64844FF7"/>
    <w:rsid w:val="649F2FD7"/>
    <w:rsid w:val="687B4BF8"/>
    <w:rsid w:val="6FFE0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eastAsia="Times New Roman"/>
      <w:sz w:val="24"/>
      <w:szCs w:val="24"/>
      <w:lang w:val="zh-CN"/>
    </w:rPr>
  </w:style>
  <w:style w:type="character" w:styleId="8">
    <w:name w:val="annotation reference"/>
    <w:basedOn w:val="7"/>
    <w:qFormat/>
    <w:uiPriority w:val="0"/>
    <w:rPr>
      <w:sz w:val="21"/>
      <w:szCs w:val="21"/>
    </w:rPr>
  </w:style>
  <w:style w:type="character" w:customStyle="1" w:styleId="9">
    <w:name w:val="页眉 字符"/>
    <w:basedOn w:val="7"/>
    <w:link w:val="4"/>
    <w:qFormat/>
    <w:uiPriority w:val="0"/>
    <w:rPr>
      <w:sz w:val="18"/>
      <w:szCs w:val="18"/>
    </w:rPr>
  </w:style>
  <w:style w:type="character" w:customStyle="1" w:styleId="10">
    <w:name w:val="页脚 字符"/>
    <w:basedOn w:val="7"/>
    <w:link w:val="3"/>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3174</Words>
  <Characters>3317</Characters>
  <Lines>24</Lines>
  <Paragraphs>7</Paragraphs>
  <TotalTime>0</TotalTime>
  <ScaleCrop>false</ScaleCrop>
  <LinksUpToDate>false</LinksUpToDate>
  <CharactersWithSpaces>3326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2024-06-08T12:29:00Z</dcterms:created>
  <dc:creator>Shine_ZHOU</dc:creator>
  <cp:lastModifiedBy>彼岸花开</cp:lastModifiedBy>
  <dcterms:modified xsi:type="dcterms:W3CDTF">2024-06-25T00:23:49Z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89BE444AC31A41DE92AD2CE08303C9EE</vt:lpwstr>
  </property>
</Properties>
</file>