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line="480" w:lineRule="exact"/>
        <w:ind w:left="558" w:hanging="558" w:hangingChars="155"/>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bCs/>
          <w:sz w:val="36"/>
          <w:szCs w:val="36"/>
        </w:rPr>
        <w:t>会计学院数智化财会微专业人才培养方案</w:t>
      </w:r>
    </w:p>
    <w:p>
      <w:pPr>
        <w:widowControl/>
        <w:spacing w:after="156" w:line="0" w:lineRule="atLeast"/>
        <w:ind w:firstLine="560" w:firstLineChars="200"/>
        <w:jc w:val="left"/>
        <w:rPr>
          <w:rFonts w:ascii="黑体" w:hAnsi="黑体" w:eastAsia="黑体" w:cs="黑体"/>
          <w:bCs/>
          <w:sz w:val="28"/>
          <w:szCs w:val="28"/>
        </w:rPr>
      </w:pPr>
    </w:p>
    <w:p>
      <w:pPr>
        <w:widowControl/>
        <w:spacing w:after="156" w:line="0" w:lineRule="atLeast"/>
        <w:ind w:firstLine="560" w:firstLineChars="200"/>
        <w:jc w:val="left"/>
        <w:rPr>
          <w:rFonts w:ascii="黑体" w:hAnsi="黑体" w:eastAsia="黑体" w:cs="黑体"/>
          <w:bCs/>
          <w:sz w:val="28"/>
          <w:szCs w:val="28"/>
        </w:rPr>
      </w:pPr>
      <w:r>
        <w:rPr>
          <w:rFonts w:hint="eastAsia" w:ascii="黑体" w:hAnsi="黑体" w:eastAsia="黑体" w:cs="黑体"/>
          <w:bCs/>
          <w:sz w:val="28"/>
          <w:szCs w:val="28"/>
        </w:rPr>
        <w:t>一、专业培养目标</w:t>
      </w:r>
    </w:p>
    <w:p>
      <w:pPr>
        <w:spacing w:line="360" w:lineRule="auto"/>
        <w:ind w:firstLine="480" w:firstLineChars="200"/>
        <w:rPr>
          <w:sz w:val="24"/>
        </w:rPr>
      </w:pPr>
      <w:r>
        <w:rPr>
          <w:rFonts w:hint="eastAsia"/>
          <w:sz w:val="24"/>
        </w:rPr>
        <w:t>本微专业培养</w:t>
      </w:r>
      <w:r>
        <w:rPr>
          <w:sz w:val="24"/>
        </w:rPr>
        <w:t>能够践行社会主义核心价值观，</w:t>
      </w:r>
      <w:r>
        <w:rPr>
          <w:rFonts w:hint="eastAsia"/>
          <w:sz w:val="24"/>
        </w:rPr>
        <w:t>具备</w:t>
      </w:r>
      <w:r>
        <w:rPr>
          <w:rFonts w:hint="eastAsia"/>
          <w:sz w:val="24"/>
          <w:szCs w:val="28"/>
        </w:rPr>
        <w:t>人文素养、科学精神和诚信品质</w:t>
      </w:r>
      <w:r>
        <w:rPr>
          <w:rFonts w:hint="eastAsia"/>
          <w:sz w:val="24"/>
        </w:rPr>
        <w:t>，通过实训课程拓宽学生的学科视野，增进学科交叉融合的理论与实践能力，掌握财会数智化的基本理论、方法、应用场景与实施方案，提升创新思维。</w:t>
      </w:r>
    </w:p>
    <w:p>
      <w:pPr>
        <w:widowControl/>
        <w:spacing w:after="156" w:line="0" w:lineRule="atLeast"/>
        <w:ind w:firstLine="560" w:firstLineChars="200"/>
        <w:jc w:val="left"/>
        <w:rPr>
          <w:rFonts w:ascii="黑体" w:hAnsi="黑体" w:eastAsia="黑体" w:cs="黑体"/>
          <w:bCs/>
          <w:sz w:val="28"/>
          <w:szCs w:val="28"/>
        </w:rPr>
      </w:pPr>
      <w:r>
        <w:rPr>
          <w:rFonts w:hint="eastAsia" w:ascii="黑体" w:hAnsi="黑体" w:eastAsia="黑体" w:cs="黑体"/>
          <w:bCs/>
          <w:sz w:val="28"/>
          <w:szCs w:val="28"/>
        </w:rPr>
        <w:t>二、毕业要求</w:t>
      </w:r>
    </w:p>
    <w:p>
      <w:pPr>
        <w:spacing w:line="360" w:lineRule="auto"/>
        <w:ind w:firstLine="480" w:firstLineChars="200"/>
        <w:rPr>
          <w:bCs/>
          <w:sz w:val="24"/>
        </w:rPr>
      </w:pPr>
      <w:r>
        <w:rPr>
          <w:sz w:val="24"/>
          <w:szCs w:val="28"/>
        </w:rPr>
        <w:t>1. 政治立场坚定，恪守社会主义核心价值观，具有较强的社会责任感和法律意识；具有为国家富强、民族昌盛而奋斗的志向和责任感；具有良好的商业伦理和会计职业道德、健康的心理和体魄。</w:t>
      </w:r>
    </w:p>
    <w:p>
      <w:pPr>
        <w:spacing w:line="360" w:lineRule="auto"/>
        <w:ind w:firstLine="480" w:firstLineChars="200"/>
        <w:rPr>
          <w:color w:val="000000"/>
          <w:sz w:val="24"/>
        </w:rPr>
      </w:pPr>
      <w:r>
        <w:rPr>
          <w:rFonts w:hint="eastAsia"/>
          <w:color w:val="000000"/>
          <w:sz w:val="24"/>
        </w:rPr>
        <w:t>2</w:t>
      </w:r>
      <w:r>
        <w:rPr>
          <w:color w:val="000000"/>
          <w:sz w:val="24"/>
        </w:rPr>
        <w:t>.</w:t>
      </w:r>
      <w:r>
        <w:rPr>
          <w:sz w:val="24"/>
        </w:rPr>
        <w:t xml:space="preserve"> </w:t>
      </w:r>
      <w:r>
        <w:rPr>
          <w:rFonts w:hint="eastAsia"/>
          <w:sz w:val="24"/>
        </w:rPr>
        <w:t>能够掌握并运用现代信息技术特别是大数据分析、人工智能、云计算技术</w:t>
      </w:r>
      <w:r>
        <w:rPr>
          <w:rFonts w:hint="eastAsia"/>
          <w:color w:val="000000"/>
          <w:sz w:val="24"/>
        </w:rPr>
        <w:t>，对业财数据进行智能采集、存储、智能加工、深度分析、智能预警形成内外部决策有用的高质量会计信息；</w:t>
      </w:r>
    </w:p>
    <w:p>
      <w:pPr>
        <w:spacing w:line="360" w:lineRule="auto"/>
        <w:ind w:firstLine="480" w:firstLineChars="200"/>
        <w:rPr>
          <w:color w:val="000000"/>
          <w:sz w:val="24"/>
        </w:rPr>
      </w:pPr>
      <w:r>
        <w:rPr>
          <w:rFonts w:hint="eastAsia"/>
          <w:sz w:val="24"/>
          <w:szCs w:val="28"/>
        </w:rPr>
        <w:t>3</w:t>
      </w:r>
      <w:r>
        <w:rPr>
          <w:sz w:val="24"/>
          <w:szCs w:val="28"/>
        </w:rPr>
        <w:t>.</w:t>
      </w:r>
      <w:r>
        <w:rPr>
          <w:sz w:val="24"/>
        </w:rPr>
        <w:t xml:space="preserve"> 具有一定的会计职业判断能力以及综合分析问题、解决问题的基本能力，</w:t>
      </w:r>
      <w:r>
        <w:rPr>
          <w:color w:val="000000"/>
          <w:sz w:val="24"/>
        </w:rPr>
        <w:t>具有团队协作精神，能够通过与他人有效合作，科学有效组织、开展会计工作；</w:t>
      </w:r>
    </w:p>
    <w:p>
      <w:pPr>
        <w:spacing w:beforeLines="50" w:afterLines="50" w:line="480" w:lineRule="exact"/>
        <w:ind w:firstLine="560" w:firstLineChars="200"/>
        <w:rPr>
          <w:rFonts w:ascii="宋体" w:hAnsi="宋体"/>
          <w:b/>
          <w:sz w:val="28"/>
          <w:szCs w:val="28"/>
        </w:rPr>
      </w:pPr>
      <w:r>
        <w:rPr>
          <w:rFonts w:hint="eastAsia" w:ascii="黑体" w:hAnsi="黑体" w:eastAsia="黑体" w:cs="黑体"/>
          <w:bCs/>
          <w:sz w:val="28"/>
          <w:szCs w:val="28"/>
        </w:rPr>
        <w:t>三、招生对象与条件</w:t>
      </w:r>
    </w:p>
    <w:p>
      <w:pPr>
        <w:spacing w:line="360" w:lineRule="auto"/>
        <w:ind w:firstLine="480" w:firstLineChars="200"/>
        <w:rPr>
          <w:color w:val="000000"/>
          <w:sz w:val="24"/>
        </w:rPr>
      </w:pPr>
      <w:r>
        <w:rPr>
          <w:rFonts w:hint="eastAsia"/>
          <w:color w:val="000000"/>
          <w:sz w:val="24"/>
        </w:rPr>
        <w:t>微专业招生对象为全日制普通在校学生，全校符合条件的本科生（大一至大三年级）均可报名。学生需要先修课程要求：</w:t>
      </w:r>
    </w:p>
    <w:tbl>
      <w:tblPr>
        <w:tblStyle w:val="5"/>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808"/>
        <w:gridCol w:w="5041"/>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808" w:type="dxa"/>
            <w:tcBorders>
              <w:tl2br w:val="nil"/>
              <w:tr2bl w:val="nil"/>
            </w:tcBorders>
          </w:tcPr>
          <w:p>
            <w:pPr>
              <w:spacing w:line="360" w:lineRule="auto"/>
              <w:rPr>
                <w:color w:val="000000"/>
                <w:sz w:val="21"/>
                <w:szCs w:val="16"/>
              </w:rPr>
            </w:pPr>
            <w:r>
              <w:rPr>
                <w:rFonts w:hint="eastAsia"/>
                <w:color w:val="000000"/>
                <w:sz w:val="21"/>
                <w:szCs w:val="16"/>
              </w:rPr>
              <w:t>先修课程</w:t>
            </w:r>
          </w:p>
        </w:tc>
        <w:tc>
          <w:tcPr>
            <w:tcW w:w="5041" w:type="dxa"/>
            <w:tcBorders>
              <w:tl2br w:val="nil"/>
              <w:tr2bl w:val="nil"/>
            </w:tcBorders>
          </w:tcPr>
          <w:p>
            <w:pPr>
              <w:spacing w:line="360" w:lineRule="auto"/>
              <w:rPr>
                <w:color w:val="000000"/>
                <w:sz w:val="21"/>
                <w:szCs w:val="16"/>
              </w:rPr>
            </w:pPr>
            <w:r>
              <w:rPr>
                <w:rFonts w:hint="eastAsia"/>
                <w:color w:val="000000"/>
                <w:sz w:val="21"/>
                <w:szCs w:val="16"/>
              </w:rPr>
              <w:t>备注</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808" w:type="dxa"/>
            <w:tcBorders>
              <w:tl2br w:val="nil"/>
              <w:tr2bl w:val="nil"/>
            </w:tcBorders>
          </w:tcPr>
          <w:p>
            <w:pPr>
              <w:spacing w:line="360" w:lineRule="auto"/>
              <w:rPr>
                <w:color w:val="000000"/>
                <w:sz w:val="21"/>
                <w:szCs w:val="16"/>
              </w:rPr>
            </w:pPr>
            <w:r>
              <w:rPr>
                <w:rFonts w:hint="eastAsia"/>
                <w:color w:val="000000"/>
                <w:sz w:val="21"/>
                <w:szCs w:val="16"/>
              </w:rPr>
              <w:t>会计学</w:t>
            </w:r>
          </w:p>
        </w:tc>
        <w:tc>
          <w:tcPr>
            <w:tcW w:w="5041" w:type="dxa"/>
            <w:tcBorders>
              <w:tl2br w:val="nil"/>
              <w:tr2bl w:val="nil"/>
            </w:tcBorders>
          </w:tcPr>
          <w:p>
            <w:pPr>
              <w:spacing w:line="360" w:lineRule="auto"/>
              <w:rPr>
                <w:color w:val="000000"/>
                <w:sz w:val="21"/>
                <w:szCs w:val="16"/>
              </w:rPr>
            </w:pPr>
            <w:r>
              <w:rPr>
                <w:rFonts w:hint="eastAsia"/>
                <w:color w:val="000000"/>
                <w:sz w:val="21"/>
                <w:szCs w:val="16"/>
              </w:rPr>
              <w:t>会计学基础、财务会计学可以作为替代</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808" w:type="dxa"/>
            <w:tcBorders>
              <w:tl2br w:val="nil"/>
              <w:tr2bl w:val="nil"/>
            </w:tcBorders>
          </w:tcPr>
          <w:p>
            <w:pPr>
              <w:spacing w:line="360" w:lineRule="auto"/>
              <w:rPr>
                <w:color w:val="000000"/>
                <w:sz w:val="21"/>
                <w:szCs w:val="16"/>
              </w:rPr>
            </w:pPr>
            <w:r>
              <w:rPr>
                <w:rFonts w:hint="eastAsia"/>
                <w:color w:val="000000"/>
                <w:sz w:val="21"/>
                <w:szCs w:val="16"/>
              </w:rPr>
              <w:t>财务管理</w:t>
            </w:r>
          </w:p>
        </w:tc>
        <w:tc>
          <w:tcPr>
            <w:tcW w:w="5041" w:type="dxa"/>
            <w:tcBorders>
              <w:tl2br w:val="nil"/>
              <w:tr2bl w:val="nil"/>
            </w:tcBorders>
          </w:tcPr>
          <w:p>
            <w:pPr>
              <w:spacing w:line="360" w:lineRule="auto"/>
              <w:rPr>
                <w:color w:val="000000"/>
                <w:sz w:val="21"/>
                <w:szCs w:val="16"/>
              </w:rPr>
            </w:pPr>
            <w:r>
              <w:rPr>
                <w:rFonts w:hint="eastAsia"/>
                <w:color w:val="000000"/>
                <w:sz w:val="21"/>
                <w:szCs w:val="16"/>
              </w:rPr>
              <w:t>无可替代课程</w:t>
            </w:r>
          </w:p>
        </w:tc>
      </w:tr>
    </w:tbl>
    <w:p>
      <w:pPr>
        <w:spacing w:beforeLines="50" w:afterLines="50" w:line="480" w:lineRule="exact"/>
        <w:ind w:firstLine="560" w:firstLineChars="200"/>
        <w:rPr>
          <w:rFonts w:ascii="黑体" w:hAnsi="黑体" w:eastAsia="黑体" w:cs="黑体"/>
          <w:bCs/>
          <w:sz w:val="28"/>
          <w:szCs w:val="28"/>
        </w:rPr>
      </w:pPr>
      <w:r>
        <w:rPr>
          <w:rFonts w:hint="eastAsia" w:ascii="黑体" w:hAnsi="黑体" w:eastAsia="黑体" w:cs="黑体"/>
          <w:bCs/>
          <w:sz w:val="28"/>
          <w:szCs w:val="28"/>
        </w:rPr>
        <w:t>四、学分与证书</w:t>
      </w:r>
    </w:p>
    <w:p>
      <w:pPr>
        <w:spacing w:line="360" w:lineRule="auto"/>
        <w:ind w:firstLine="480" w:firstLineChars="200"/>
        <w:jc w:val="left"/>
        <w:rPr>
          <w:sz w:val="24"/>
        </w:rPr>
      </w:pPr>
      <w:r>
        <w:rPr>
          <w:rFonts w:hint="eastAsia"/>
          <w:sz w:val="24"/>
        </w:rPr>
        <w:t>本微专业学制为2个学期，修满学分，按照教务处规定发放微专业修读证书。</w:t>
      </w:r>
    </w:p>
    <w:p>
      <w:pPr>
        <w:spacing w:beforeLines="50" w:afterLines="50" w:line="480" w:lineRule="exact"/>
        <w:ind w:firstLine="560" w:firstLineChars="200"/>
        <w:rPr>
          <w:rFonts w:ascii="黑体" w:hAnsi="黑体" w:eastAsia="黑体" w:cs="黑体"/>
          <w:bCs/>
          <w:sz w:val="28"/>
          <w:szCs w:val="28"/>
        </w:rPr>
      </w:pPr>
      <w:r>
        <w:rPr>
          <w:rFonts w:hint="eastAsia" w:ascii="黑体" w:hAnsi="黑体" w:eastAsia="黑体" w:cs="黑体"/>
          <w:bCs/>
          <w:sz w:val="28"/>
          <w:szCs w:val="28"/>
        </w:rPr>
        <w:t>五、课程设置</w:t>
      </w:r>
    </w:p>
    <w:p>
      <w:pPr>
        <w:widowControl/>
        <w:spacing w:after="156" w:line="0" w:lineRule="atLeast"/>
        <w:jc w:val="center"/>
        <w:rPr>
          <w:rFonts w:ascii="黑体" w:hAnsi="黑体" w:eastAsia="黑体" w:cs="黑体"/>
          <w:bCs/>
          <w:sz w:val="28"/>
          <w:szCs w:val="28"/>
        </w:rPr>
      </w:pPr>
      <w:r>
        <w:rPr>
          <w:rFonts w:hint="eastAsia" w:ascii="黑体" w:hAnsi="黑体" w:eastAsia="黑体" w:cs="黑体"/>
          <w:bCs/>
          <w:sz w:val="28"/>
          <w:szCs w:val="28"/>
        </w:rPr>
        <w:t>数智化财会微专业课程设置及教学进程计划表</w:t>
      </w:r>
    </w:p>
    <w:tbl>
      <w:tblPr>
        <w:tblStyle w:val="4"/>
        <w:tblW w:w="100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0"/>
        <w:gridCol w:w="1425"/>
        <w:gridCol w:w="641"/>
        <w:gridCol w:w="764"/>
        <w:gridCol w:w="791"/>
        <w:gridCol w:w="736"/>
        <w:gridCol w:w="723"/>
        <w:gridCol w:w="730"/>
        <w:gridCol w:w="780"/>
        <w:gridCol w:w="1230"/>
        <w:gridCol w:w="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70" w:type="dxa"/>
            <w:vMerge w:val="restart"/>
            <w:tcBorders>
              <w:bottom w:val="single" w:color="auto" w:sz="4" w:space="0"/>
            </w:tcBorders>
            <w:vAlign w:val="center"/>
          </w:tcPr>
          <w:p>
            <w:pPr>
              <w:widowControl/>
              <w:jc w:val="center"/>
              <w:rPr>
                <w:rFonts w:ascii="黑体" w:hAnsi="黑体" w:eastAsia="黑体"/>
                <w:bCs/>
                <w:spacing w:val="20"/>
                <w:sz w:val="18"/>
                <w:szCs w:val="18"/>
              </w:rPr>
            </w:pPr>
            <w:r>
              <w:rPr>
                <w:rFonts w:hint="eastAsia" w:ascii="黑体" w:hAnsi="黑体" w:eastAsia="黑体"/>
                <w:bCs/>
                <w:sz w:val="18"/>
                <w:szCs w:val="18"/>
              </w:rPr>
              <w:t>课程名称</w:t>
            </w:r>
          </w:p>
        </w:tc>
        <w:tc>
          <w:tcPr>
            <w:tcW w:w="1425" w:type="dxa"/>
            <w:vMerge w:val="restart"/>
            <w:vAlign w:val="center"/>
          </w:tcPr>
          <w:p>
            <w:pPr>
              <w:widowControl/>
              <w:jc w:val="center"/>
              <w:rPr>
                <w:rFonts w:ascii="黑体" w:hAnsi="黑体" w:eastAsia="黑体"/>
                <w:bCs/>
                <w:sz w:val="18"/>
                <w:szCs w:val="18"/>
              </w:rPr>
            </w:pPr>
            <w:r>
              <w:rPr>
                <w:rFonts w:hint="eastAsia" w:ascii="黑体" w:hAnsi="黑体" w:eastAsia="黑体"/>
                <w:bCs/>
                <w:sz w:val="18"/>
                <w:szCs w:val="18"/>
              </w:rPr>
              <w:t>课程代码</w:t>
            </w:r>
          </w:p>
        </w:tc>
        <w:tc>
          <w:tcPr>
            <w:tcW w:w="641" w:type="dxa"/>
            <w:vMerge w:val="restart"/>
            <w:tcBorders>
              <w:bottom w:val="single" w:color="auto" w:sz="4" w:space="0"/>
            </w:tcBorders>
            <w:vAlign w:val="center"/>
          </w:tcPr>
          <w:p>
            <w:pPr>
              <w:widowControl/>
              <w:jc w:val="center"/>
              <w:rPr>
                <w:rFonts w:ascii="黑体" w:hAnsi="黑体" w:eastAsia="黑体"/>
                <w:bCs/>
                <w:spacing w:val="20"/>
                <w:sz w:val="18"/>
                <w:szCs w:val="18"/>
              </w:rPr>
            </w:pPr>
            <w:r>
              <w:rPr>
                <w:rFonts w:hint="eastAsia" w:ascii="黑体" w:hAnsi="黑体" w:eastAsia="黑体"/>
                <w:bCs/>
                <w:sz w:val="18"/>
                <w:szCs w:val="18"/>
              </w:rPr>
              <w:t>学分</w:t>
            </w:r>
          </w:p>
        </w:tc>
        <w:tc>
          <w:tcPr>
            <w:tcW w:w="764" w:type="dxa"/>
            <w:vMerge w:val="restart"/>
            <w:vAlign w:val="center"/>
          </w:tcPr>
          <w:p>
            <w:pPr>
              <w:widowControl/>
              <w:jc w:val="center"/>
              <w:rPr>
                <w:rFonts w:ascii="黑体" w:hAnsi="黑体" w:eastAsia="黑体"/>
                <w:bCs/>
                <w:sz w:val="18"/>
                <w:szCs w:val="18"/>
              </w:rPr>
            </w:pPr>
            <w:r>
              <w:rPr>
                <w:rFonts w:ascii="黑体" w:hAnsi="黑体" w:eastAsia="黑体"/>
                <w:bCs/>
                <w:sz w:val="18"/>
              </w:rPr>
              <w:t>总学时</w:t>
            </w:r>
          </w:p>
        </w:tc>
        <w:tc>
          <w:tcPr>
            <w:tcW w:w="2980" w:type="dxa"/>
            <w:gridSpan w:val="4"/>
            <w:tcBorders>
              <w:bottom w:val="single" w:color="auto" w:sz="4" w:space="0"/>
            </w:tcBorders>
            <w:vAlign w:val="center"/>
          </w:tcPr>
          <w:p>
            <w:pPr>
              <w:widowControl/>
              <w:jc w:val="center"/>
              <w:rPr>
                <w:rFonts w:ascii="黑体" w:hAnsi="黑体" w:eastAsia="黑体"/>
                <w:bCs/>
                <w:spacing w:val="20"/>
                <w:sz w:val="18"/>
                <w:szCs w:val="18"/>
              </w:rPr>
            </w:pPr>
            <w:r>
              <w:rPr>
                <w:rFonts w:ascii="黑体" w:hAnsi="黑体" w:eastAsia="黑体"/>
                <w:bCs/>
                <w:spacing w:val="75"/>
                <w:kern w:val="0"/>
                <w:sz w:val="18"/>
                <w:szCs w:val="18"/>
                <w:fitText w:val="840" w:id="1307458760"/>
              </w:rPr>
              <w:t>学时</w:t>
            </w:r>
            <w:r>
              <w:rPr>
                <w:rFonts w:hint="eastAsia" w:ascii="黑体" w:hAnsi="黑体" w:eastAsia="黑体"/>
                <w:bCs/>
                <w:spacing w:val="0"/>
                <w:kern w:val="0"/>
                <w:sz w:val="18"/>
                <w:szCs w:val="18"/>
                <w:fitText w:val="840" w:id="1307458760"/>
              </w:rPr>
              <w:t>分</w:t>
            </w:r>
            <w:r>
              <w:rPr>
                <w:rFonts w:hint="eastAsia" w:ascii="黑体" w:hAnsi="黑体" w:eastAsia="黑体"/>
                <w:bCs/>
                <w:sz w:val="18"/>
                <w:szCs w:val="18"/>
              </w:rPr>
              <w:t xml:space="preserve"> 配</w:t>
            </w:r>
          </w:p>
        </w:tc>
        <w:tc>
          <w:tcPr>
            <w:tcW w:w="780" w:type="dxa"/>
            <w:vMerge w:val="restart"/>
            <w:tcBorders>
              <w:bottom w:val="single" w:color="auto" w:sz="4" w:space="0"/>
            </w:tcBorders>
            <w:vAlign w:val="center"/>
          </w:tcPr>
          <w:p>
            <w:pPr>
              <w:widowControl/>
              <w:snapToGrid w:val="0"/>
              <w:jc w:val="center"/>
              <w:rPr>
                <w:rFonts w:ascii="黑体" w:hAnsi="黑体" w:eastAsia="黑体"/>
                <w:bCs/>
                <w:sz w:val="18"/>
                <w:szCs w:val="18"/>
              </w:rPr>
            </w:pPr>
            <w:r>
              <w:rPr>
                <w:rFonts w:hint="eastAsia" w:ascii="黑体" w:hAnsi="黑体" w:eastAsia="黑体"/>
                <w:bCs/>
                <w:sz w:val="18"/>
                <w:szCs w:val="18"/>
              </w:rPr>
              <w:t>考核</w:t>
            </w:r>
          </w:p>
          <w:p>
            <w:pPr>
              <w:widowControl/>
              <w:jc w:val="center"/>
              <w:rPr>
                <w:rFonts w:ascii="黑体" w:hAnsi="黑体" w:eastAsia="黑体"/>
                <w:bCs/>
                <w:spacing w:val="20"/>
                <w:sz w:val="18"/>
                <w:szCs w:val="18"/>
              </w:rPr>
            </w:pPr>
            <w:r>
              <w:rPr>
                <w:rFonts w:hint="eastAsia" w:ascii="黑体" w:hAnsi="黑体" w:eastAsia="黑体"/>
                <w:bCs/>
                <w:sz w:val="18"/>
                <w:szCs w:val="18"/>
              </w:rPr>
              <w:t>方式</w:t>
            </w:r>
          </w:p>
        </w:tc>
        <w:tc>
          <w:tcPr>
            <w:tcW w:w="1230" w:type="dxa"/>
            <w:vMerge w:val="restart"/>
            <w:tcBorders>
              <w:bottom w:val="single" w:color="auto" w:sz="4" w:space="0"/>
            </w:tcBorders>
            <w:vAlign w:val="center"/>
          </w:tcPr>
          <w:p>
            <w:pPr>
              <w:widowControl/>
              <w:jc w:val="center"/>
              <w:rPr>
                <w:rFonts w:ascii="黑体" w:hAnsi="黑体" w:eastAsia="黑体"/>
                <w:bCs/>
                <w:spacing w:val="20"/>
                <w:sz w:val="18"/>
                <w:szCs w:val="18"/>
              </w:rPr>
            </w:pPr>
            <w:r>
              <w:rPr>
                <w:rFonts w:hint="eastAsia" w:ascii="黑体" w:hAnsi="黑体" w:eastAsia="黑体"/>
                <w:bCs/>
                <w:spacing w:val="20"/>
                <w:sz w:val="18"/>
                <w:szCs w:val="18"/>
              </w:rPr>
              <w:t>开课单位</w:t>
            </w:r>
          </w:p>
        </w:tc>
        <w:tc>
          <w:tcPr>
            <w:tcW w:w="716" w:type="dxa"/>
            <w:vMerge w:val="restart"/>
            <w:tcBorders>
              <w:bottom w:val="single" w:color="auto" w:sz="4" w:space="0"/>
            </w:tcBorders>
            <w:vAlign w:val="center"/>
          </w:tcPr>
          <w:p>
            <w:pPr>
              <w:widowControl/>
              <w:snapToGrid w:val="0"/>
              <w:jc w:val="center"/>
              <w:rPr>
                <w:rFonts w:ascii="黑体" w:hAnsi="黑体" w:eastAsia="黑体"/>
                <w:bCs/>
                <w:sz w:val="18"/>
                <w:szCs w:val="18"/>
              </w:rPr>
            </w:pPr>
            <w:r>
              <w:rPr>
                <w:rFonts w:ascii="黑体" w:hAnsi="黑体" w:eastAsia="黑体"/>
                <w:bCs/>
                <w:sz w:val="18"/>
                <w:szCs w:val="18"/>
              </w:rPr>
              <w:t>开课</w:t>
            </w:r>
          </w:p>
          <w:p>
            <w:pPr>
              <w:widowControl/>
              <w:jc w:val="center"/>
              <w:rPr>
                <w:rFonts w:ascii="黑体" w:hAnsi="黑体" w:eastAsia="黑体"/>
                <w:bCs/>
                <w:spacing w:val="20"/>
                <w:sz w:val="18"/>
                <w:szCs w:val="18"/>
              </w:rPr>
            </w:pPr>
            <w:r>
              <w:rPr>
                <w:rFonts w:hint="eastAsia" w:ascii="黑体" w:hAnsi="黑体" w:eastAsia="黑体"/>
                <w:bCs/>
                <w:sz w:val="18"/>
                <w:szCs w:val="18"/>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70" w:type="dxa"/>
            <w:vMerge w:val="continue"/>
            <w:vAlign w:val="center"/>
          </w:tcPr>
          <w:p>
            <w:pPr>
              <w:widowControl/>
              <w:jc w:val="center"/>
              <w:rPr>
                <w:rFonts w:ascii="仿宋" w:hAnsi="仿宋" w:eastAsia="仿宋"/>
                <w:b/>
                <w:spacing w:val="20"/>
                <w:sz w:val="21"/>
                <w:szCs w:val="21"/>
              </w:rPr>
            </w:pPr>
          </w:p>
        </w:tc>
        <w:tc>
          <w:tcPr>
            <w:tcW w:w="1425" w:type="dxa"/>
            <w:vMerge w:val="continue"/>
            <w:vAlign w:val="center"/>
          </w:tcPr>
          <w:p>
            <w:pPr>
              <w:widowControl/>
              <w:jc w:val="center"/>
              <w:rPr>
                <w:rFonts w:ascii="仿宋" w:hAnsi="仿宋" w:eastAsia="仿宋"/>
                <w:b/>
                <w:spacing w:val="20"/>
                <w:sz w:val="21"/>
                <w:szCs w:val="21"/>
              </w:rPr>
            </w:pPr>
          </w:p>
        </w:tc>
        <w:tc>
          <w:tcPr>
            <w:tcW w:w="641" w:type="dxa"/>
            <w:vMerge w:val="continue"/>
            <w:vAlign w:val="center"/>
          </w:tcPr>
          <w:p>
            <w:pPr>
              <w:widowControl/>
              <w:jc w:val="center"/>
              <w:rPr>
                <w:rFonts w:ascii="仿宋" w:hAnsi="仿宋" w:eastAsia="仿宋"/>
                <w:b/>
                <w:spacing w:val="20"/>
                <w:sz w:val="21"/>
                <w:szCs w:val="21"/>
              </w:rPr>
            </w:pPr>
          </w:p>
        </w:tc>
        <w:tc>
          <w:tcPr>
            <w:tcW w:w="764" w:type="dxa"/>
            <w:vMerge w:val="continue"/>
            <w:vAlign w:val="center"/>
          </w:tcPr>
          <w:p>
            <w:pPr>
              <w:widowControl/>
              <w:jc w:val="center"/>
              <w:rPr>
                <w:rFonts w:ascii="仿宋" w:hAnsi="仿宋" w:eastAsia="仿宋"/>
                <w:b/>
                <w:spacing w:val="20"/>
                <w:sz w:val="21"/>
                <w:szCs w:val="21"/>
              </w:rPr>
            </w:pPr>
          </w:p>
        </w:tc>
        <w:tc>
          <w:tcPr>
            <w:tcW w:w="791" w:type="dxa"/>
            <w:vAlign w:val="center"/>
          </w:tcPr>
          <w:p>
            <w:pPr>
              <w:widowControl/>
              <w:jc w:val="center"/>
              <w:rPr>
                <w:rFonts w:ascii="黑体" w:hAnsi="黑体" w:eastAsia="黑体"/>
                <w:bCs/>
                <w:spacing w:val="20"/>
                <w:sz w:val="21"/>
                <w:szCs w:val="21"/>
              </w:rPr>
            </w:pPr>
            <w:r>
              <w:rPr>
                <w:rFonts w:hint="eastAsia" w:ascii="黑体" w:hAnsi="黑体" w:eastAsia="黑体"/>
                <w:bCs/>
                <w:sz w:val="18"/>
              </w:rPr>
              <w:t>理论</w:t>
            </w:r>
          </w:p>
        </w:tc>
        <w:tc>
          <w:tcPr>
            <w:tcW w:w="736" w:type="dxa"/>
            <w:vAlign w:val="center"/>
          </w:tcPr>
          <w:p>
            <w:pPr>
              <w:widowControl/>
              <w:jc w:val="center"/>
              <w:rPr>
                <w:rFonts w:ascii="黑体" w:hAnsi="黑体" w:eastAsia="黑体"/>
                <w:bCs/>
                <w:spacing w:val="20"/>
                <w:sz w:val="21"/>
                <w:szCs w:val="21"/>
              </w:rPr>
            </w:pPr>
            <w:r>
              <w:rPr>
                <w:rFonts w:hint="eastAsia" w:ascii="黑体" w:hAnsi="黑体" w:eastAsia="黑体"/>
                <w:bCs/>
                <w:sz w:val="18"/>
              </w:rPr>
              <w:t>实践</w:t>
            </w:r>
          </w:p>
        </w:tc>
        <w:tc>
          <w:tcPr>
            <w:tcW w:w="723" w:type="dxa"/>
            <w:vAlign w:val="center"/>
          </w:tcPr>
          <w:p>
            <w:pPr>
              <w:widowControl/>
              <w:jc w:val="center"/>
              <w:rPr>
                <w:rFonts w:ascii="黑体" w:hAnsi="黑体" w:eastAsia="黑体"/>
                <w:bCs/>
                <w:spacing w:val="20"/>
                <w:sz w:val="21"/>
                <w:szCs w:val="21"/>
              </w:rPr>
            </w:pPr>
            <w:r>
              <w:rPr>
                <w:rFonts w:hint="eastAsia" w:ascii="黑体" w:hAnsi="黑体" w:eastAsia="黑体"/>
                <w:bCs/>
                <w:sz w:val="18"/>
                <w:szCs w:val="18"/>
              </w:rPr>
              <w:t>线上学时</w:t>
            </w:r>
          </w:p>
        </w:tc>
        <w:tc>
          <w:tcPr>
            <w:tcW w:w="730" w:type="dxa"/>
            <w:vAlign w:val="center"/>
          </w:tcPr>
          <w:p>
            <w:pPr>
              <w:widowControl/>
              <w:jc w:val="center"/>
              <w:rPr>
                <w:rFonts w:ascii="仿宋" w:hAnsi="仿宋" w:eastAsia="仿宋"/>
                <w:b/>
                <w:spacing w:val="20"/>
                <w:sz w:val="21"/>
                <w:szCs w:val="21"/>
              </w:rPr>
            </w:pPr>
            <w:r>
              <w:rPr>
                <w:rFonts w:hint="eastAsia" w:ascii="黑体" w:hAnsi="黑体" w:eastAsia="黑体"/>
                <w:bCs/>
                <w:sz w:val="18"/>
                <w:szCs w:val="18"/>
              </w:rPr>
              <w:t>线下学时</w:t>
            </w:r>
          </w:p>
        </w:tc>
        <w:tc>
          <w:tcPr>
            <w:tcW w:w="780" w:type="dxa"/>
            <w:vMerge w:val="continue"/>
            <w:vAlign w:val="center"/>
          </w:tcPr>
          <w:p>
            <w:pPr>
              <w:widowControl/>
              <w:jc w:val="center"/>
              <w:rPr>
                <w:rFonts w:ascii="仿宋" w:hAnsi="仿宋" w:eastAsia="仿宋"/>
                <w:b/>
                <w:spacing w:val="20"/>
                <w:sz w:val="21"/>
                <w:szCs w:val="21"/>
              </w:rPr>
            </w:pPr>
          </w:p>
        </w:tc>
        <w:tc>
          <w:tcPr>
            <w:tcW w:w="1230" w:type="dxa"/>
            <w:vMerge w:val="continue"/>
            <w:vAlign w:val="center"/>
          </w:tcPr>
          <w:p>
            <w:pPr>
              <w:widowControl/>
              <w:jc w:val="center"/>
              <w:rPr>
                <w:rFonts w:ascii="仿宋" w:hAnsi="仿宋" w:eastAsia="仿宋"/>
                <w:b/>
                <w:spacing w:val="20"/>
                <w:sz w:val="21"/>
                <w:szCs w:val="21"/>
              </w:rPr>
            </w:pPr>
          </w:p>
        </w:tc>
        <w:tc>
          <w:tcPr>
            <w:tcW w:w="716" w:type="dxa"/>
            <w:vMerge w:val="continue"/>
            <w:vAlign w:val="center"/>
          </w:tcPr>
          <w:p>
            <w:pPr>
              <w:widowControl/>
              <w:jc w:val="center"/>
              <w:rPr>
                <w:rFonts w:ascii="仿宋" w:hAnsi="仿宋" w:eastAsia="仿宋"/>
                <w:b/>
                <w:spacing w:val="2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70" w:type="dxa"/>
            <w:vAlign w:val="center"/>
          </w:tcPr>
          <w:p>
            <w:pPr>
              <w:widowControl/>
              <w:jc w:val="left"/>
              <w:rPr>
                <w:rFonts w:ascii="仿宋" w:hAnsi="仿宋" w:eastAsia="仿宋"/>
                <w:b/>
                <w:spacing w:val="20"/>
                <w:sz w:val="18"/>
                <w:szCs w:val="18"/>
              </w:rPr>
            </w:pPr>
            <w:r>
              <w:rPr>
                <w:rFonts w:hint="eastAsia" w:ascii="仿宋" w:hAnsi="仿宋" w:eastAsia="仿宋"/>
                <w:b/>
                <w:spacing w:val="20"/>
                <w:sz w:val="18"/>
                <w:szCs w:val="18"/>
              </w:rPr>
              <w:t>会计信息系统</w:t>
            </w:r>
          </w:p>
        </w:tc>
        <w:tc>
          <w:tcPr>
            <w:tcW w:w="1425" w:type="dxa"/>
            <w:vAlign w:val="center"/>
          </w:tcPr>
          <w:p>
            <w:pPr>
              <w:widowControl/>
              <w:jc w:val="left"/>
              <w:rPr>
                <w:rFonts w:hint="eastAsia" w:ascii="仿宋" w:hAnsi="仿宋" w:eastAsia="仿宋"/>
                <w:b/>
                <w:spacing w:val="20"/>
                <w:sz w:val="18"/>
                <w:szCs w:val="18"/>
              </w:rPr>
            </w:pPr>
            <w:r>
              <w:rPr>
                <w:rFonts w:hint="default" w:ascii="仿宋" w:hAnsi="仿宋" w:eastAsia="仿宋"/>
                <w:b/>
                <w:spacing w:val="20"/>
                <w:sz w:val="18"/>
                <w:szCs w:val="18"/>
                <w:lang w:val="en-US" w:eastAsia="zh-CN"/>
              </w:rPr>
              <w:t>V0424014A</w:t>
            </w:r>
          </w:p>
        </w:tc>
        <w:tc>
          <w:tcPr>
            <w:tcW w:w="641" w:type="dxa"/>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rPr>
              <w:t>4</w:t>
            </w:r>
          </w:p>
        </w:tc>
        <w:tc>
          <w:tcPr>
            <w:tcW w:w="764" w:type="dxa"/>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rPr>
              <w:t>64</w:t>
            </w:r>
          </w:p>
        </w:tc>
        <w:tc>
          <w:tcPr>
            <w:tcW w:w="791" w:type="dxa"/>
            <w:vAlign w:val="center"/>
          </w:tcPr>
          <w:p>
            <w:pPr>
              <w:widowControl/>
              <w:jc w:val="center"/>
              <w:rPr>
                <w:rFonts w:hint="default" w:ascii="仿宋" w:hAnsi="仿宋" w:eastAsia="仿宋"/>
                <w:b/>
                <w:spacing w:val="20"/>
                <w:sz w:val="18"/>
                <w:szCs w:val="18"/>
                <w:lang w:val="en-US" w:eastAsia="zh-CN"/>
              </w:rPr>
            </w:pPr>
            <w:r>
              <w:rPr>
                <w:rFonts w:hint="eastAsia" w:ascii="仿宋" w:hAnsi="仿宋" w:eastAsia="仿宋"/>
                <w:b/>
                <w:spacing w:val="20"/>
                <w:sz w:val="18"/>
                <w:szCs w:val="18"/>
                <w:lang w:val="en-US" w:eastAsia="zh-CN"/>
              </w:rPr>
              <w:t>32</w:t>
            </w:r>
          </w:p>
        </w:tc>
        <w:tc>
          <w:tcPr>
            <w:tcW w:w="736" w:type="dxa"/>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lang w:val="en-US" w:eastAsia="zh-CN"/>
              </w:rPr>
              <w:t>32</w:t>
            </w:r>
          </w:p>
        </w:tc>
        <w:tc>
          <w:tcPr>
            <w:tcW w:w="723" w:type="dxa"/>
            <w:vAlign w:val="center"/>
          </w:tcPr>
          <w:p>
            <w:pPr>
              <w:widowControl/>
              <w:jc w:val="center"/>
              <w:rPr>
                <w:rFonts w:ascii="仿宋" w:hAnsi="仿宋" w:eastAsia="仿宋"/>
                <w:b/>
                <w:spacing w:val="20"/>
                <w:sz w:val="18"/>
                <w:szCs w:val="18"/>
              </w:rPr>
            </w:pPr>
          </w:p>
        </w:tc>
        <w:tc>
          <w:tcPr>
            <w:tcW w:w="730" w:type="dxa"/>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rPr>
              <w:t>64</w:t>
            </w:r>
          </w:p>
        </w:tc>
        <w:tc>
          <w:tcPr>
            <w:tcW w:w="780" w:type="dxa"/>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rPr>
              <w:t>考试</w:t>
            </w:r>
          </w:p>
        </w:tc>
        <w:tc>
          <w:tcPr>
            <w:tcW w:w="1230" w:type="dxa"/>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rPr>
              <w:t>会计学院</w:t>
            </w:r>
          </w:p>
        </w:tc>
        <w:tc>
          <w:tcPr>
            <w:tcW w:w="716" w:type="dxa"/>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70" w:type="dxa"/>
            <w:vAlign w:val="center"/>
          </w:tcPr>
          <w:p>
            <w:pPr>
              <w:widowControl/>
              <w:jc w:val="left"/>
              <w:rPr>
                <w:rFonts w:ascii="仿宋" w:hAnsi="仿宋" w:eastAsia="仿宋"/>
                <w:b/>
                <w:spacing w:val="20"/>
                <w:sz w:val="18"/>
                <w:szCs w:val="18"/>
              </w:rPr>
            </w:pPr>
            <w:r>
              <w:rPr>
                <w:rFonts w:hint="eastAsia" w:ascii="仿宋" w:hAnsi="仿宋" w:eastAsia="仿宋"/>
                <w:b/>
                <w:spacing w:val="20"/>
                <w:sz w:val="18"/>
                <w:szCs w:val="18"/>
              </w:rPr>
              <w:t>企业经营决策沙盘模拟</w:t>
            </w:r>
          </w:p>
        </w:tc>
        <w:tc>
          <w:tcPr>
            <w:tcW w:w="1425" w:type="dxa"/>
            <w:vAlign w:val="center"/>
          </w:tcPr>
          <w:p>
            <w:pPr>
              <w:widowControl/>
              <w:jc w:val="left"/>
              <w:rPr>
                <w:rFonts w:hint="eastAsia" w:ascii="仿宋" w:hAnsi="仿宋" w:eastAsia="仿宋"/>
                <w:b/>
                <w:spacing w:val="20"/>
                <w:sz w:val="18"/>
                <w:szCs w:val="18"/>
              </w:rPr>
            </w:pPr>
            <w:r>
              <w:rPr>
                <w:rFonts w:hint="default" w:ascii="仿宋" w:hAnsi="仿宋" w:eastAsia="仿宋"/>
                <w:b/>
                <w:spacing w:val="20"/>
                <w:sz w:val="18"/>
                <w:szCs w:val="18"/>
                <w:lang w:val="en-US" w:eastAsia="zh-CN"/>
              </w:rPr>
              <w:t>V0424022B</w:t>
            </w:r>
          </w:p>
        </w:tc>
        <w:tc>
          <w:tcPr>
            <w:tcW w:w="641" w:type="dxa"/>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rPr>
              <w:t>2</w:t>
            </w:r>
          </w:p>
        </w:tc>
        <w:tc>
          <w:tcPr>
            <w:tcW w:w="764" w:type="dxa"/>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rPr>
              <w:t>32</w:t>
            </w:r>
          </w:p>
        </w:tc>
        <w:tc>
          <w:tcPr>
            <w:tcW w:w="791" w:type="dxa"/>
            <w:vAlign w:val="center"/>
          </w:tcPr>
          <w:p>
            <w:pPr>
              <w:widowControl/>
              <w:jc w:val="center"/>
              <w:rPr>
                <w:rFonts w:ascii="仿宋" w:hAnsi="仿宋" w:eastAsia="仿宋"/>
                <w:b/>
                <w:spacing w:val="20"/>
                <w:sz w:val="18"/>
                <w:szCs w:val="18"/>
              </w:rPr>
            </w:pPr>
          </w:p>
        </w:tc>
        <w:tc>
          <w:tcPr>
            <w:tcW w:w="736" w:type="dxa"/>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lang w:val="en-US" w:eastAsia="zh-CN"/>
              </w:rPr>
              <w:t>32</w:t>
            </w:r>
          </w:p>
        </w:tc>
        <w:tc>
          <w:tcPr>
            <w:tcW w:w="723" w:type="dxa"/>
            <w:vAlign w:val="center"/>
          </w:tcPr>
          <w:p>
            <w:pPr>
              <w:widowControl/>
              <w:jc w:val="center"/>
              <w:rPr>
                <w:rFonts w:ascii="仿宋" w:hAnsi="仿宋" w:eastAsia="仿宋"/>
                <w:b/>
                <w:spacing w:val="20"/>
                <w:sz w:val="18"/>
                <w:szCs w:val="18"/>
              </w:rPr>
            </w:pPr>
          </w:p>
        </w:tc>
        <w:tc>
          <w:tcPr>
            <w:tcW w:w="730" w:type="dxa"/>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lang w:val="en-US" w:eastAsia="zh-CN"/>
              </w:rPr>
              <w:t>32</w:t>
            </w:r>
          </w:p>
        </w:tc>
        <w:tc>
          <w:tcPr>
            <w:tcW w:w="780" w:type="dxa"/>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rPr>
              <w:t>考查</w:t>
            </w:r>
          </w:p>
        </w:tc>
        <w:tc>
          <w:tcPr>
            <w:tcW w:w="1230" w:type="dxa"/>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rPr>
              <w:t>会计学院</w:t>
            </w:r>
          </w:p>
        </w:tc>
        <w:tc>
          <w:tcPr>
            <w:tcW w:w="716" w:type="dxa"/>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70" w:type="dxa"/>
            <w:vAlign w:val="center"/>
          </w:tcPr>
          <w:p>
            <w:pPr>
              <w:widowControl/>
              <w:jc w:val="left"/>
              <w:rPr>
                <w:rFonts w:ascii="仿宋" w:hAnsi="仿宋" w:eastAsia="仿宋"/>
                <w:b/>
                <w:spacing w:val="20"/>
                <w:sz w:val="18"/>
                <w:szCs w:val="18"/>
                <w:lang w:eastAsia="en-US"/>
              </w:rPr>
            </w:pPr>
            <w:r>
              <w:rPr>
                <w:rFonts w:hint="eastAsia" w:ascii="仿宋" w:hAnsi="仿宋" w:eastAsia="仿宋"/>
                <w:b/>
                <w:spacing w:val="20"/>
                <w:sz w:val="18"/>
                <w:szCs w:val="18"/>
              </w:rPr>
              <w:t>RPA与智能会计</w:t>
            </w:r>
          </w:p>
        </w:tc>
        <w:tc>
          <w:tcPr>
            <w:tcW w:w="1425" w:type="dxa"/>
            <w:vAlign w:val="center"/>
          </w:tcPr>
          <w:p>
            <w:pPr>
              <w:widowControl/>
              <w:jc w:val="left"/>
              <w:rPr>
                <w:rFonts w:hint="eastAsia" w:ascii="仿宋" w:hAnsi="仿宋" w:eastAsia="仿宋"/>
                <w:b/>
                <w:spacing w:val="20"/>
                <w:sz w:val="18"/>
                <w:szCs w:val="18"/>
              </w:rPr>
            </w:pPr>
            <w:r>
              <w:rPr>
                <w:rFonts w:hint="default" w:ascii="仿宋" w:hAnsi="仿宋" w:eastAsia="仿宋"/>
                <w:b/>
                <w:spacing w:val="20"/>
                <w:sz w:val="18"/>
                <w:szCs w:val="18"/>
                <w:lang w:val="en-US" w:eastAsia="zh-CN"/>
              </w:rPr>
              <w:t>V0424033B</w:t>
            </w:r>
          </w:p>
        </w:tc>
        <w:tc>
          <w:tcPr>
            <w:tcW w:w="641" w:type="dxa"/>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rPr>
              <w:t>3</w:t>
            </w:r>
          </w:p>
        </w:tc>
        <w:tc>
          <w:tcPr>
            <w:tcW w:w="764" w:type="dxa"/>
            <w:vAlign w:val="center"/>
          </w:tcPr>
          <w:p>
            <w:pPr>
              <w:widowControl/>
              <w:jc w:val="center"/>
              <w:rPr>
                <w:rFonts w:hint="default" w:ascii="仿宋" w:hAnsi="仿宋" w:eastAsia="仿宋"/>
                <w:b/>
                <w:spacing w:val="20"/>
                <w:sz w:val="18"/>
                <w:szCs w:val="18"/>
                <w:lang w:val="en-US" w:eastAsia="zh-CN"/>
              </w:rPr>
            </w:pPr>
            <w:r>
              <w:rPr>
                <w:rFonts w:hint="eastAsia" w:ascii="仿宋" w:hAnsi="仿宋" w:eastAsia="仿宋"/>
                <w:b/>
                <w:spacing w:val="20"/>
                <w:sz w:val="18"/>
                <w:szCs w:val="18"/>
                <w:lang w:val="en-US" w:eastAsia="zh-CN"/>
              </w:rPr>
              <w:t>48</w:t>
            </w:r>
          </w:p>
        </w:tc>
        <w:tc>
          <w:tcPr>
            <w:tcW w:w="791" w:type="dxa"/>
            <w:vAlign w:val="center"/>
          </w:tcPr>
          <w:p>
            <w:pPr>
              <w:widowControl/>
              <w:jc w:val="center"/>
              <w:rPr>
                <w:rFonts w:hint="default" w:ascii="仿宋" w:hAnsi="仿宋" w:eastAsia="仿宋"/>
                <w:b/>
                <w:spacing w:val="20"/>
                <w:sz w:val="18"/>
                <w:szCs w:val="18"/>
                <w:lang w:val="en-US" w:eastAsia="zh-CN"/>
              </w:rPr>
            </w:pPr>
            <w:r>
              <w:rPr>
                <w:rFonts w:hint="eastAsia" w:ascii="仿宋" w:hAnsi="仿宋" w:eastAsia="仿宋"/>
                <w:b/>
                <w:spacing w:val="20"/>
                <w:sz w:val="18"/>
                <w:szCs w:val="18"/>
                <w:lang w:val="en-US" w:eastAsia="zh-CN"/>
              </w:rPr>
              <w:t>16</w:t>
            </w:r>
          </w:p>
        </w:tc>
        <w:tc>
          <w:tcPr>
            <w:tcW w:w="736" w:type="dxa"/>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lang w:val="en-US" w:eastAsia="zh-CN"/>
              </w:rPr>
              <w:t>32</w:t>
            </w:r>
          </w:p>
        </w:tc>
        <w:tc>
          <w:tcPr>
            <w:tcW w:w="723" w:type="dxa"/>
            <w:vAlign w:val="center"/>
          </w:tcPr>
          <w:p>
            <w:pPr>
              <w:widowControl/>
              <w:jc w:val="center"/>
              <w:rPr>
                <w:rFonts w:ascii="仿宋" w:hAnsi="仿宋" w:eastAsia="仿宋"/>
                <w:b/>
                <w:spacing w:val="20"/>
                <w:sz w:val="18"/>
                <w:szCs w:val="18"/>
              </w:rPr>
            </w:pPr>
          </w:p>
        </w:tc>
        <w:tc>
          <w:tcPr>
            <w:tcW w:w="730" w:type="dxa"/>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lang w:val="en-US" w:eastAsia="zh-CN"/>
              </w:rPr>
              <w:t>48</w:t>
            </w:r>
          </w:p>
        </w:tc>
        <w:tc>
          <w:tcPr>
            <w:tcW w:w="780" w:type="dxa"/>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rPr>
              <w:t>考查</w:t>
            </w:r>
          </w:p>
        </w:tc>
        <w:tc>
          <w:tcPr>
            <w:tcW w:w="1230" w:type="dxa"/>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rPr>
              <w:t>会计学院</w:t>
            </w:r>
          </w:p>
        </w:tc>
        <w:tc>
          <w:tcPr>
            <w:tcW w:w="716" w:type="dxa"/>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70" w:type="dxa"/>
            <w:vAlign w:val="center"/>
          </w:tcPr>
          <w:p>
            <w:pPr>
              <w:widowControl/>
              <w:jc w:val="left"/>
              <w:rPr>
                <w:rFonts w:ascii="仿宋" w:hAnsi="仿宋" w:eastAsia="仿宋"/>
                <w:b/>
                <w:spacing w:val="20"/>
                <w:sz w:val="18"/>
                <w:szCs w:val="18"/>
              </w:rPr>
            </w:pPr>
            <w:r>
              <w:rPr>
                <w:rFonts w:hint="eastAsia" w:ascii="仿宋" w:hAnsi="仿宋" w:eastAsia="仿宋"/>
                <w:b/>
                <w:spacing w:val="20"/>
                <w:sz w:val="18"/>
                <w:szCs w:val="18"/>
              </w:rPr>
              <w:t>商业智能与财会决策支持</w:t>
            </w:r>
          </w:p>
        </w:tc>
        <w:tc>
          <w:tcPr>
            <w:tcW w:w="1425" w:type="dxa"/>
            <w:vAlign w:val="center"/>
          </w:tcPr>
          <w:p>
            <w:pPr>
              <w:widowControl/>
              <w:jc w:val="left"/>
              <w:rPr>
                <w:rFonts w:hint="eastAsia" w:ascii="仿宋" w:hAnsi="仿宋" w:eastAsia="仿宋"/>
                <w:b/>
                <w:spacing w:val="20"/>
                <w:sz w:val="18"/>
                <w:szCs w:val="18"/>
              </w:rPr>
            </w:pPr>
            <w:r>
              <w:rPr>
                <w:rFonts w:hint="default" w:ascii="仿宋" w:hAnsi="仿宋" w:eastAsia="仿宋"/>
                <w:b/>
                <w:spacing w:val="20"/>
                <w:sz w:val="18"/>
                <w:szCs w:val="18"/>
                <w:lang w:val="en-US" w:eastAsia="zh-CN"/>
              </w:rPr>
              <w:t>V0424043B</w:t>
            </w:r>
          </w:p>
        </w:tc>
        <w:tc>
          <w:tcPr>
            <w:tcW w:w="641" w:type="dxa"/>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rPr>
              <w:t>3</w:t>
            </w:r>
          </w:p>
        </w:tc>
        <w:tc>
          <w:tcPr>
            <w:tcW w:w="764" w:type="dxa"/>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rPr>
              <w:t>48</w:t>
            </w:r>
          </w:p>
        </w:tc>
        <w:tc>
          <w:tcPr>
            <w:tcW w:w="791" w:type="dxa"/>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lang w:val="en-US" w:eastAsia="zh-CN"/>
              </w:rPr>
              <w:t>16</w:t>
            </w:r>
          </w:p>
        </w:tc>
        <w:tc>
          <w:tcPr>
            <w:tcW w:w="736" w:type="dxa"/>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lang w:val="en-US" w:eastAsia="zh-CN"/>
              </w:rPr>
              <w:t>32</w:t>
            </w:r>
          </w:p>
        </w:tc>
        <w:tc>
          <w:tcPr>
            <w:tcW w:w="723" w:type="dxa"/>
            <w:vAlign w:val="center"/>
          </w:tcPr>
          <w:p>
            <w:pPr>
              <w:widowControl/>
              <w:jc w:val="center"/>
              <w:rPr>
                <w:rFonts w:ascii="仿宋" w:hAnsi="仿宋" w:eastAsia="仿宋"/>
                <w:b/>
                <w:spacing w:val="20"/>
                <w:sz w:val="18"/>
                <w:szCs w:val="18"/>
              </w:rPr>
            </w:pPr>
            <w:bookmarkStart w:id="0" w:name="_GoBack"/>
            <w:bookmarkEnd w:id="0"/>
          </w:p>
        </w:tc>
        <w:tc>
          <w:tcPr>
            <w:tcW w:w="730" w:type="dxa"/>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rPr>
              <w:t>48</w:t>
            </w:r>
          </w:p>
        </w:tc>
        <w:tc>
          <w:tcPr>
            <w:tcW w:w="780" w:type="dxa"/>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rPr>
              <w:t>考查</w:t>
            </w:r>
          </w:p>
        </w:tc>
        <w:tc>
          <w:tcPr>
            <w:tcW w:w="1230" w:type="dxa"/>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rPr>
              <w:t>会计学院</w:t>
            </w:r>
          </w:p>
        </w:tc>
        <w:tc>
          <w:tcPr>
            <w:tcW w:w="716" w:type="dxa"/>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70" w:type="dxa"/>
            <w:vAlign w:val="center"/>
          </w:tcPr>
          <w:p>
            <w:pPr>
              <w:widowControl/>
              <w:jc w:val="left"/>
              <w:rPr>
                <w:rFonts w:ascii="仿宋" w:hAnsi="仿宋" w:eastAsia="仿宋"/>
                <w:b/>
                <w:spacing w:val="20"/>
                <w:sz w:val="18"/>
                <w:szCs w:val="18"/>
                <w:lang w:eastAsia="en-US"/>
              </w:rPr>
            </w:pPr>
            <w:r>
              <w:rPr>
                <w:rFonts w:hint="eastAsia" w:ascii="仿宋" w:hAnsi="仿宋" w:eastAsia="仿宋"/>
                <w:b/>
                <w:spacing w:val="20"/>
                <w:sz w:val="18"/>
                <w:szCs w:val="18"/>
              </w:rPr>
              <w:t>财务共享原理与实践</w:t>
            </w:r>
          </w:p>
        </w:tc>
        <w:tc>
          <w:tcPr>
            <w:tcW w:w="1425" w:type="dxa"/>
            <w:vAlign w:val="center"/>
          </w:tcPr>
          <w:p>
            <w:pPr>
              <w:widowControl/>
              <w:jc w:val="left"/>
              <w:rPr>
                <w:rFonts w:hint="eastAsia" w:ascii="仿宋" w:hAnsi="仿宋" w:eastAsia="仿宋"/>
                <w:b/>
                <w:spacing w:val="20"/>
                <w:sz w:val="18"/>
                <w:szCs w:val="18"/>
              </w:rPr>
            </w:pPr>
            <w:r>
              <w:rPr>
                <w:rFonts w:hint="default" w:ascii="仿宋" w:hAnsi="仿宋" w:eastAsia="仿宋"/>
                <w:b/>
                <w:spacing w:val="20"/>
                <w:sz w:val="18"/>
                <w:szCs w:val="18"/>
                <w:lang w:val="en-US" w:eastAsia="zh-CN"/>
              </w:rPr>
              <w:t>V0424052B</w:t>
            </w:r>
          </w:p>
        </w:tc>
        <w:tc>
          <w:tcPr>
            <w:tcW w:w="641" w:type="dxa"/>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rPr>
              <w:t>2</w:t>
            </w:r>
          </w:p>
        </w:tc>
        <w:tc>
          <w:tcPr>
            <w:tcW w:w="764" w:type="dxa"/>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rPr>
              <w:t>32</w:t>
            </w:r>
          </w:p>
        </w:tc>
        <w:tc>
          <w:tcPr>
            <w:tcW w:w="791" w:type="dxa"/>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lang w:val="en-US" w:eastAsia="zh-CN"/>
              </w:rPr>
              <w:t>16</w:t>
            </w:r>
          </w:p>
        </w:tc>
        <w:tc>
          <w:tcPr>
            <w:tcW w:w="736" w:type="dxa"/>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lang w:val="en-US" w:eastAsia="zh-CN"/>
              </w:rPr>
              <w:t>16</w:t>
            </w:r>
          </w:p>
        </w:tc>
        <w:tc>
          <w:tcPr>
            <w:tcW w:w="723" w:type="dxa"/>
            <w:vAlign w:val="center"/>
          </w:tcPr>
          <w:p>
            <w:pPr>
              <w:widowControl/>
              <w:jc w:val="center"/>
              <w:rPr>
                <w:rFonts w:ascii="仿宋" w:hAnsi="仿宋" w:eastAsia="仿宋"/>
                <w:b/>
                <w:spacing w:val="20"/>
                <w:sz w:val="18"/>
                <w:szCs w:val="18"/>
              </w:rPr>
            </w:pPr>
          </w:p>
        </w:tc>
        <w:tc>
          <w:tcPr>
            <w:tcW w:w="730" w:type="dxa"/>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lang w:val="en-US" w:eastAsia="zh-CN"/>
              </w:rPr>
              <w:t>32</w:t>
            </w:r>
          </w:p>
        </w:tc>
        <w:tc>
          <w:tcPr>
            <w:tcW w:w="780" w:type="dxa"/>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rPr>
              <w:t>考查</w:t>
            </w:r>
          </w:p>
        </w:tc>
        <w:tc>
          <w:tcPr>
            <w:tcW w:w="1230" w:type="dxa"/>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rPr>
              <w:t>会计学院</w:t>
            </w:r>
          </w:p>
        </w:tc>
        <w:tc>
          <w:tcPr>
            <w:tcW w:w="716" w:type="dxa"/>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70" w:type="dxa"/>
            <w:vAlign w:val="center"/>
          </w:tcPr>
          <w:p>
            <w:pPr>
              <w:widowControl/>
              <w:jc w:val="left"/>
              <w:rPr>
                <w:rFonts w:ascii="仿宋" w:hAnsi="仿宋" w:eastAsia="仿宋"/>
                <w:b/>
                <w:spacing w:val="20"/>
                <w:sz w:val="18"/>
                <w:szCs w:val="18"/>
              </w:rPr>
            </w:pPr>
            <w:r>
              <w:rPr>
                <w:rFonts w:hint="eastAsia" w:ascii="仿宋" w:hAnsi="仿宋" w:eastAsia="仿宋"/>
                <w:b/>
                <w:spacing w:val="20"/>
                <w:sz w:val="18"/>
                <w:szCs w:val="18"/>
              </w:rPr>
              <w:t>区块链技术及其应用案例</w:t>
            </w:r>
          </w:p>
        </w:tc>
        <w:tc>
          <w:tcPr>
            <w:tcW w:w="1425" w:type="dxa"/>
            <w:vAlign w:val="center"/>
          </w:tcPr>
          <w:p>
            <w:pPr>
              <w:widowControl/>
              <w:jc w:val="left"/>
              <w:rPr>
                <w:rFonts w:hint="eastAsia" w:ascii="仿宋" w:hAnsi="仿宋" w:eastAsia="仿宋"/>
                <w:b/>
                <w:spacing w:val="20"/>
                <w:sz w:val="18"/>
                <w:szCs w:val="18"/>
              </w:rPr>
            </w:pPr>
            <w:r>
              <w:rPr>
                <w:rFonts w:hint="default" w:ascii="仿宋" w:hAnsi="仿宋" w:eastAsia="仿宋"/>
                <w:b/>
                <w:spacing w:val="20"/>
                <w:sz w:val="18"/>
                <w:szCs w:val="18"/>
                <w:lang w:val="en-US" w:eastAsia="zh-CN"/>
              </w:rPr>
              <w:t>V0424062B</w:t>
            </w:r>
          </w:p>
        </w:tc>
        <w:tc>
          <w:tcPr>
            <w:tcW w:w="641" w:type="dxa"/>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rPr>
              <w:t>2</w:t>
            </w:r>
          </w:p>
        </w:tc>
        <w:tc>
          <w:tcPr>
            <w:tcW w:w="764" w:type="dxa"/>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rPr>
              <w:t>32</w:t>
            </w:r>
          </w:p>
        </w:tc>
        <w:tc>
          <w:tcPr>
            <w:tcW w:w="791" w:type="dxa"/>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lang w:val="en-US" w:eastAsia="zh-CN"/>
              </w:rPr>
              <w:t>16</w:t>
            </w:r>
          </w:p>
        </w:tc>
        <w:tc>
          <w:tcPr>
            <w:tcW w:w="736" w:type="dxa"/>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lang w:val="en-US" w:eastAsia="zh-CN"/>
              </w:rPr>
              <w:t>16</w:t>
            </w:r>
          </w:p>
        </w:tc>
        <w:tc>
          <w:tcPr>
            <w:tcW w:w="723" w:type="dxa"/>
            <w:vAlign w:val="center"/>
          </w:tcPr>
          <w:p>
            <w:pPr>
              <w:widowControl/>
              <w:jc w:val="center"/>
              <w:rPr>
                <w:rFonts w:ascii="仿宋" w:hAnsi="仿宋" w:eastAsia="仿宋"/>
                <w:b/>
                <w:spacing w:val="20"/>
                <w:sz w:val="18"/>
                <w:szCs w:val="18"/>
              </w:rPr>
            </w:pPr>
          </w:p>
        </w:tc>
        <w:tc>
          <w:tcPr>
            <w:tcW w:w="730" w:type="dxa"/>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lang w:val="en-US" w:eastAsia="zh-CN"/>
              </w:rPr>
              <w:t>32</w:t>
            </w:r>
          </w:p>
        </w:tc>
        <w:tc>
          <w:tcPr>
            <w:tcW w:w="780" w:type="dxa"/>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rPr>
              <w:t>考查</w:t>
            </w:r>
          </w:p>
        </w:tc>
        <w:tc>
          <w:tcPr>
            <w:tcW w:w="1230" w:type="dxa"/>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rPr>
              <w:t>会计学院会计学院</w:t>
            </w:r>
          </w:p>
        </w:tc>
        <w:tc>
          <w:tcPr>
            <w:tcW w:w="716" w:type="dxa"/>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70" w:type="dxa"/>
            <w:tcBorders>
              <w:bottom w:val="single" w:color="auto" w:sz="4" w:space="0"/>
            </w:tcBorders>
            <w:vAlign w:val="center"/>
          </w:tcPr>
          <w:p>
            <w:pPr>
              <w:widowControl/>
              <w:jc w:val="center"/>
              <w:rPr>
                <w:rFonts w:ascii="黑体" w:hAnsi="黑体" w:eastAsia="黑体"/>
                <w:bCs/>
                <w:sz w:val="18"/>
                <w:szCs w:val="18"/>
              </w:rPr>
            </w:pPr>
            <w:r>
              <w:rPr>
                <w:rFonts w:hint="eastAsia" w:ascii="黑体" w:hAnsi="黑体" w:eastAsia="黑体"/>
                <w:bCs/>
                <w:sz w:val="18"/>
                <w:szCs w:val="18"/>
              </w:rPr>
              <w:t>合计</w:t>
            </w:r>
          </w:p>
        </w:tc>
        <w:tc>
          <w:tcPr>
            <w:tcW w:w="1425" w:type="dxa"/>
            <w:tcBorders>
              <w:bottom w:val="single" w:color="auto" w:sz="4" w:space="0"/>
            </w:tcBorders>
            <w:vAlign w:val="center"/>
          </w:tcPr>
          <w:p>
            <w:pPr>
              <w:widowControl/>
              <w:jc w:val="center"/>
              <w:rPr>
                <w:rFonts w:ascii="仿宋" w:hAnsi="仿宋" w:eastAsia="仿宋"/>
                <w:b/>
                <w:spacing w:val="20"/>
                <w:sz w:val="18"/>
                <w:szCs w:val="18"/>
              </w:rPr>
            </w:pPr>
          </w:p>
        </w:tc>
        <w:tc>
          <w:tcPr>
            <w:tcW w:w="641" w:type="dxa"/>
            <w:tcBorders>
              <w:bottom w:val="single" w:color="auto" w:sz="4" w:space="0"/>
            </w:tcBorders>
            <w:vAlign w:val="center"/>
          </w:tcPr>
          <w:p>
            <w:pPr>
              <w:widowControl/>
              <w:jc w:val="center"/>
              <w:rPr>
                <w:rFonts w:ascii="仿宋" w:hAnsi="仿宋" w:eastAsia="仿宋"/>
                <w:b/>
                <w:spacing w:val="20"/>
                <w:sz w:val="18"/>
                <w:szCs w:val="18"/>
              </w:rPr>
            </w:pPr>
          </w:p>
        </w:tc>
        <w:tc>
          <w:tcPr>
            <w:tcW w:w="764" w:type="dxa"/>
            <w:tcBorders>
              <w:bottom w:val="single" w:color="auto" w:sz="4" w:space="0"/>
            </w:tcBorders>
            <w:vAlign w:val="center"/>
          </w:tcPr>
          <w:p>
            <w:pPr>
              <w:widowControl/>
              <w:jc w:val="center"/>
              <w:rPr>
                <w:rFonts w:ascii="仿宋" w:hAnsi="仿宋" w:eastAsia="仿宋"/>
                <w:b/>
                <w:spacing w:val="20"/>
                <w:sz w:val="18"/>
                <w:szCs w:val="18"/>
              </w:rPr>
            </w:pPr>
          </w:p>
        </w:tc>
        <w:tc>
          <w:tcPr>
            <w:tcW w:w="791" w:type="dxa"/>
            <w:tcBorders>
              <w:bottom w:val="single" w:color="auto" w:sz="4" w:space="0"/>
            </w:tcBorders>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rPr>
              <w:t>6</w:t>
            </w:r>
          </w:p>
        </w:tc>
        <w:tc>
          <w:tcPr>
            <w:tcW w:w="736" w:type="dxa"/>
            <w:tcBorders>
              <w:bottom w:val="single" w:color="auto" w:sz="4" w:space="0"/>
            </w:tcBorders>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rPr>
              <w:t>10</w:t>
            </w:r>
          </w:p>
        </w:tc>
        <w:tc>
          <w:tcPr>
            <w:tcW w:w="723" w:type="dxa"/>
            <w:tcBorders>
              <w:bottom w:val="single" w:color="auto" w:sz="4" w:space="0"/>
            </w:tcBorders>
            <w:vAlign w:val="center"/>
          </w:tcPr>
          <w:p>
            <w:pPr>
              <w:widowControl/>
              <w:jc w:val="center"/>
              <w:rPr>
                <w:rFonts w:ascii="仿宋" w:hAnsi="仿宋" w:eastAsia="仿宋"/>
                <w:b/>
                <w:spacing w:val="20"/>
                <w:sz w:val="18"/>
                <w:szCs w:val="18"/>
              </w:rPr>
            </w:pPr>
          </w:p>
        </w:tc>
        <w:tc>
          <w:tcPr>
            <w:tcW w:w="730" w:type="dxa"/>
            <w:tcBorders>
              <w:bottom w:val="single" w:color="auto" w:sz="4" w:space="0"/>
            </w:tcBorders>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rPr>
              <w:t>16</w:t>
            </w:r>
          </w:p>
        </w:tc>
        <w:tc>
          <w:tcPr>
            <w:tcW w:w="780" w:type="dxa"/>
            <w:tcBorders>
              <w:bottom w:val="single" w:color="auto" w:sz="4" w:space="0"/>
            </w:tcBorders>
            <w:vAlign w:val="center"/>
          </w:tcPr>
          <w:p>
            <w:pPr>
              <w:widowControl/>
              <w:jc w:val="center"/>
              <w:rPr>
                <w:rFonts w:ascii="仿宋" w:hAnsi="仿宋" w:eastAsia="仿宋"/>
                <w:b/>
                <w:spacing w:val="20"/>
                <w:sz w:val="18"/>
                <w:szCs w:val="18"/>
              </w:rPr>
            </w:pPr>
          </w:p>
        </w:tc>
        <w:tc>
          <w:tcPr>
            <w:tcW w:w="1230" w:type="dxa"/>
            <w:tcBorders>
              <w:bottom w:val="single" w:color="auto" w:sz="4" w:space="0"/>
            </w:tcBorders>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rPr>
              <w:t>-</w:t>
            </w:r>
          </w:p>
        </w:tc>
        <w:tc>
          <w:tcPr>
            <w:tcW w:w="716" w:type="dxa"/>
            <w:tcBorders>
              <w:bottom w:val="single" w:color="auto" w:sz="4" w:space="0"/>
            </w:tcBorders>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rPr>
              <w:t>-</w:t>
            </w:r>
          </w:p>
        </w:tc>
      </w:tr>
    </w:tbl>
    <w:p>
      <w:pPr>
        <w:widowControl/>
        <w:spacing w:line="360" w:lineRule="auto"/>
        <w:rPr>
          <w:bCs/>
          <w:sz w:val="24"/>
          <w:szCs w:val="24"/>
        </w:rPr>
      </w:pPr>
      <w:r>
        <w:rPr>
          <w:rFonts w:hint="eastAsia"/>
          <w:bCs/>
          <w:sz w:val="24"/>
          <w:szCs w:val="24"/>
        </w:rPr>
        <w:t>备注：</w:t>
      </w:r>
    </w:p>
    <w:p>
      <w:pPr>
        <w:widowControl/>
        <w:rPr>
          <w:rFonts w:ascii="仿宋_GB2312" w:eastAsia="仿宋_GB2312"/>
          <w:sz w:val="24"/>
          <w:szCs w:val="24"/>
        </w:rPr>
      </w:pPr>
      <w:r>
        <w:rPr>
          <w:rFonts w:hint="eastAsia" w:ascii="仿宋_GB2312" w:eastAsia="仿宋_GB2312"/>
          <w:sz w:val="24"/>
          <w:szCs w:val="24"/>
        </w:rPr>
        <w:t>1.</w:t>
      </w:r>
      <w:r>
        <w:rPr>
          <w:rFonts w:ascii="仿宋_GB2312" w:eastAsia="仿宋_GB2312"/>
          <w:sz w:val="24"/>
          <w:szCs w:val="24"/>
        </w:rPr>
        <w:t xml:space="preserve"> </w:t>
      </w:r>
      <w:r>
        <w:rPr>
          <w:rFonts w:hint="eastAsia" w:ascii="仿宋_GB2312" w:eastAsia="仿宋_GB2312"/>
          <w:sz w:val="24"/>
          <w:szCs w:val="24"/>
        </w:rPr>
        <w:t>总学时=理论学时+实践学时（实践教学含实验和上机教学），总学时=线上学时+线下学时；</w:t>
      </w:r>
    </w:p>
    <w:p>
      <w:pPr>
        <w:widowControl/>
        <w:rPr>
          <w:bCs/>
          <w:sz w:val="24"/>
          <w:szCs w:val="24"/>
        </w:rPr>
      </w:pPr>
      <w:r>
        <w:rPr>
          <w:rFonts w:hint="eastAsia" w:ascii="仿宋_GB2312" w:eastAsia="仿宋_GB2312"/>
          <w:sz w:val="24"/>
          <w:szCs w:val="24"/>
        </w:rPr>
        <w:t>2.</w:t>
      </w:r>
      <w:r>
        <w:rPr>
          <w:rFonts w:ascii="仿宋_GB2312" w:eastAsia="仿宋_GB2312"/>
          <w:sz w:val="24"/>
          <w:szCs w:val="24"/>
        </w:rPr>
        <w:t xml:space="preserve"> </w:t>
      </w:r>
      <w:r>
        <w:rPr>
          <w:rFonts w:hint="eastAsia" w:ascii="仿宋_GB2312" w:eastAsia="仿宋_GB2312"/>
          <w:sz w:val="24"/>
          <w:szCs w:val="24"/>
        </w:rPr>
        <w:t>课程代码由教务处统一编制；“开课学期”根据</w:t>
      </w:r>
      <w:r>
        <w:rPr>
          <w:rFonts w:ascii="仿宋_GB2312" w:eastAsia="仿宋_GB2312"/>
          <w:sz w:val="24"/>
          <w:szCs w:val="24"/>
        </w:rPr>
        <w:t>4</w:t>
      </w:r>
      <w:r>
        <w:rPr>
          <w:rFonts w:hint="eastAsia" w:ascii="仿宋_GB2312" w:eastAsia="仿宋_GB2312"/>
          <w:sz w:val="24"/>
          <w:szCs w:val="24"/>
        </w:rPr>
        <w:t>年制内实际开课学期填写1-1、1-2、2-1、2-2、3</w:t>
      </w:r>
      <w:r>
        <w:rPr>
          <w:rFonts w:ascii="Cambria" w:hAnsi="Cambria" w:eastAsia="仿宋_GB2312"/>
          <w:sz w:val="24"/>
          <w:szCs w:val="24"/>
        </w:rPr>
        <w:t>-1</w:t>
      </w:r>
      <w:r>
        <w:rPr>
          <w:rFonts w:hint="eastAsia" w:ascii="Cambria" w:hAnsi="Cambria" w:eastAsia="仿宋_GB2312"/>
          <w:sz w:val="24"/>
          <w:szCs w:val="24"/>
        </w:rPr>
        <w:t>、3</w:t>
      </w:r>
      <w:r>
        <w:rPr>
          <w:rFonts w:ascii="Cambria" w:hAnsi="Cambria" w:eastAsia="仿宋_GB2312"/>
          <w:sz w:val="24"/>
          <w:szCs w:val="24"/>
        </w:rPr>
        <w:t>-2</w:t>
      </w:r>
      <w:r>
        <w:rPr>
          <w:rFonts w:hint="eastAsia" w:ascii="Cambria" w:hAnsi="Cambria" w:eastAsia="仿宋_GB2312"/>
          <w:sz w:val="24"/>
          <w:szCs w:val="24"/>
        </w:rPr>
        <w:t>、4</w:t>
      </w:r>
      <w:r>
        <w:rPr>
          <w:rFonts w:ascii="Cambria" w:hAnsi="Cambria" w:eastAsia="仿宋_GB2312"/>
          <w:sz w:val="24"/>
          <w:szCs w:val="24"/>
        </w:rPr>
        <w:t>-1</w:t>
      </w:r>
      <w:r>
        <w:rPr>
          <w:rFonts w:hint="eastAsia" w:ascii="Cambria" w:hAnsi="Cambria" w:eastAsia="仿宋_GB2312"/>
          <w:sz w:val="24"/>
          <w:szCs w:val="24"/>
        </w:rPr>
        <w:t>、4</w:t>
      </w:r>
      <w:r>
        <w:rPr>
          <w:rFonts w:ascii="Cambria" w:hAnsi="Cambria" w:eastAsia="仿宋_GB2312"/>
          <w:sz w:val="24"/>
          <w:szCs w:val="24"/>
        </w:rPr>
        <w:t>-2</w:t>
      </w:r>
      <w:r>
        <w:rPr>
          <w:rFonts w:hint="eastAsia" w:ascii="仿宋_GB2312" w:eastAsia="仿宋_GB2312"/>
          <w:sz w:val="24"/>
          <w:szCs w:val="24"/>
        </w:rPr>
        <w:t>填写，“考核方式”填写考试、考查</w:t>
      </w:r>
      <w:r>
        <w:rPr>
          <w:rFonts w:hint="eastAsia" w:ascii="宋体" w:hAnsi="宋体" w:cs="宋体"/>
          <w:sz w:val="24"/>
          <w:szCs w:val="24"/>
        </w:rPr>
        <w:t>；</w:t>
      </w:r>
    </w:p>
    <w:p>
      <w:pPr>
        <w:widowControl/>
        <w:rPr>
          <w:bCs/>
          <w:sz w:val="24"/>
          <w:szCs w:val="24"/>
        </w:rPr>
      </w:pPr>
      <w:r>
        <w:rPr>
          <w:rFonts w:hint="eastAsia" w:ascii="仿宋_GB2312" w:eastAsia="仿宋_GB2312"/>
          <w:sz w:val="24"/>
          <w:szCs w:val="24"/>
        </w:rPr>
        <w:t>3.</w:t>
      </w:r>
      <w:r>
        <w:rPr>
          <w:rFonts w:ascii="仿宋_GB2312" w:eastAsia="仿宋_GB2312"/>
          <w:sz w:val="24"/>
          <w:szCs w:val="24"/>
        </w:rPr>
        <w:t xml:space="preserve"> </w:t>
      </w:r>
      <w:r>
        <w:rPr>
          <w:rFonts w:hint="eastAsia" w:ascii="仿宋_GB2312" w:eastAsia="仿宋_GB2312"/>
          <w:sz w:val="24"/>
          <w:szCs w:val="24"/>
        </w:rPr>
        <w:t>开课单位填写任课教师所在部门或单位。</w:t>
      </w:r>
    </w:p>
    <w:p>
      <w:pPr>
        <w:widowControl/>
        <w:spacing w:line="360" w:lineRule="auto"/>
        <w:ind w:firstLine="598" w:firstLineChars="187"/>
        <w:jc w:val="left"/>
        <w:rPr>
          <w:rFonts w:ascii="黑体" w:hAnsi="黑体" w:eastAsia="黑体" w:cs="黑体"/>
          <w:bCs/>
          <w:sz w:val="28"/>
          <w:szCs w:val="28"/>
        </w:rPr>
      </w:pPr>
      <w:r>
        <w:rPr>
          <w:sz w:val="32"/>
        </w:rPr>
        <w:br w:type="page"/>
      </w:r>
      <w:r>
        <w:rPr>
          <w:rFonts w:hint="eastAsia" w:ascii="黑体" w:hAnsi="黑体" w:eastAsia="黑体" w:cs="黑体"/>
          <w:bCs/>
          <w:sz w:val="28"/>
          <w:szCs w:val="28"/>
        </w:rPr>
        <w:t>六、课程简介</w:t>
      </w:r>
    </w:p>
    <w:p>
      <w:pPr>
        <w:widowControl/>
        <w:spacing w:line="400" w:lineRule="exact"/>
        <w:ind w:firstLine="560" w:firstLineChars="200"/>
        <w:rPr>
          <w:rFonts w:ascii="仿宋_GB2312" w:eastAsia="仿宋_GB2312"/>
          <w:sz w:val="28"/>
          <w:szCs w:val="28"/>
        </w:rPr>
      </w:pPr>
      <w:r>
        <w:rPr>
          <w:rFonts w:hint="eastAsia" w:ascii="仿宋_GB2312" w:eastAsia="仿宋_GB2312"/>
          <w:sz w:val="28"/>
          <w:szCs w:val="28"/>
        </w:rPr>
        <w:t>对本微专业拟开设的课程进行简要介绍，包括课程主要内容、课程教学设计等，每门课300字以内。</w:t>
      </w:r>
    </w:p>
    <w:tbl>
      <w:tblPr>
        <w:tblStyle w:val="4"/>
        <w:tblW w:w="91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2118"/>
        <w:gridCol w:w="59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110" w:type="dxa"/>
            <w:tcBorders>
              <w:top w:val="single" w:color="auto" w:sz="4" w:space="0"/>
            </w:tcBorders>
            <w:vAlign w:val="center"/>
          </w:tcPr>
          <w:p>
            <w:pPr>
              <w:widowControl/>
              <w:jc w:val="center"/>
              <w:rPr>
                <w:rFonts w:ascii="黑体" w:hAnsi="黑体" w:eastAsia="黑体" w:cs="黑体"/>
                <w:b/>
                <w:spacing w:val="20"/>
                <w:sz w:val="28"/>
                <w:szCs w:val="28"/>
              </w:rPr>
            </w:pPr>
            <w:r>
              <w:rPr>
                <w:rFonts w:hint="eastAsia" w:ascii="黑体" w:hAnsi="黑体" w:eastAsia="黑体" w:cs="黑体"/>
                <w:b/>
                <w:spacing w:val="20"/>
                <w:sz w:val="28"/>
                <w:szCs w:val="28"/>
              </w:rPr>
              <w:t>序号</w:t>
            </w:r>
          </w:p>
        </w:tc>
        <w:tc>
          <w:tcPr>
            <w:tcW w:w="2118" w:type="dxa"/>
            <w:tcBorders>
              <w:top w:val="single" w:color="auto" w:sz="4" w:space="0"/>
            </w:tcBorders>
            <w:vAlign w:val="center"/>
          </w:tcPr>
          <w:p>
            <w:pPr>
              <w:widowControl/>
              <w:jc w:val="center"/>
              <w:rPr>
                <w:rFonts w:ascii="黑体" w:hAnsi="黑体" w:eastAsia="黑体" w:cs="黑体"/>
                <w:b/>
                <w:spacing w:val="20"/>
                <w:sz w:val="28"/>
                <w:szCs w:val="28"/>
              </w:rPr>
            </w:pPr>
            <w:r>
              <w:rPr>
                <w:rFonts w:hint="eastAsia" w:ascii="黑体" w:hAnsi="黑体" w:eastAsia="黑体" w:cs="黑体"/>
                <w:b/>
                <w:spacing w:val="20"/>
                <w:sz w:val="28"/>
                <w:szCs w:val="28"/>
              </w:rPr>
              <w:t>课程名称</w:t>
            </w:r>
          </w:p>
        </w:tc>
        <w:tc>
          <w:tcPr>
            <w:tcW w:w="5922" w:type="dxa"/>
            <w:tcBorders>
              <w:top w:val="single" w:color="auto" w:sz="4" w:space="0"/>
              <w:bottom w:val="single" w:color="auto" w:sz="4" w:space="0"/>
            </w:tcBorders>
            <w:vAlign w:val="center"/>
          </w:tcPr>
          <w:p>
            <w:pPr>
              <w:widowControl/>
              <w:jc w:val="center"/>
              <w:rPr>
                <w:rFonts w:ascii="黑体" w:hAnsi="黑体" w:eastAsia="黑体" w:cs="黑体"/>
                <w:bCs/>
                <w:sz w:val="28"/>
                <w:szCs w:val="28"/>
              </w:rPr>
            </w:pPr>
            <w:r>
              <w:rPr>
                <w:rFonts w:hint="eastAsia" w:ascii="黑体" w:hAnsi="黑体" w:eastAsia="黑体" w:cs="黑体"/>
                <w:b/>
                <w:spacing w:val="20"/>
                <w:sz w:val="28"/>
                <w:szCs w:val="28"/>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0" w:hRule="exact"/>
          <w:jc w:val="center"/>
        </w:trPr>
        <w:tc>
          <w:tcPr>
            <w:tcW w:w="1110" w:type="dxa"/>
            <w:vAlign w:val="center"/>
          </w:tcPr>
          <w:p>
            <w:pPr>
              <w:widowControl/>
              <w:jc w:val="center"/>
              <w:rPr>
                <w:rFonts w:ascii="黑体" w:hAnsi="黑体" w:eastAsia="黑体"/>
                <w:bCs/>
                <w:sz w:val="18"/>
                <w:szCs w:val="18"/>
              </w:rPr>
            </w:pPr>
            <w:r>
              <w:rPr>
                <w:rFonts w:hint="eastAsia" w:ascii="黑体" w:hAnsi="黑体" w:eastAsia="黑体"/>
                <w:bCs/>
                <w:sz w:val="18"/>
                <w:szCs w:val="18"/>
              </w:rPr>
              <w:t>1</w:t>
            </w:r>
          </w:p>
        </w:tc>
        <w:tc>
          <w:tcPr>
            <w:tcW w:w="2118" w:type="dxa"/>
            <w:vAlign w:val="center"/>
          </w:tcPr>
          <w:p>
            <w:pPr>
              <w:rPr>
                <w:sz w:val="18"/>
                <w:szCs w:val="18"/>
              </w:rPr>
            </w:pPr>
            <w:r>
              <w:rPr>
                <w:rFonts w:hint="eastAsia"/>
                <w:sz w:val="18"/>
                <w:szCs w:val="18"/>
              </w:rPr>
              <w:t>会计信息系统</w:t>
            </w:r>
          </w:p>
        </w:tc>
        <w:tc>
          <w:tcPr>
            <w:tcW w:w="5922" w:type="dxa"/>
            <w:tcBorders>
              <w:top w:val="single" w:color="auto" w:sz="4" w:space="0"/>
              <w:bottom w:val="single" w:color="auto" w:sz="4" w:space="0"/>
            </w:tcBorders>
            <w:vAlign w:val="center"/>
          </w:tcPr>
          <w:p>
            <w:pPr>
              <w:rPr>
                <w:sz w:val="18"/>
                <w:szCs w:val="18"/>
              </w:rPr>
            </w:pPr>
            <w:r>
              <w:rPr>
                <w:rFonts w:hint="eastAsia"/>
                <w:sz w:val="18"/>
                <w:szCs w:val="18"/>
              </w:rPr>
              <w:t>本课程是本微专业的骨干基础课程，主要介绍现代会计信息系统的建立、应用、控制、评价与集成等方面知识，讲授部门级会计信息系统应用软件和企业级会计信息系统应用软件的功能、流程、规则和方法，讲授在现代信息处理环境下会计信息处理模型设计、数据流程设计、会计信息系统风险与控制、会计信息呈报等工作所涉及的原理、方法和技术。通过本课程的学习，学生可系统掌握会计信息化的方式方法，学会运用现代会计信息系统塑造并控制业务流程，理解构建可信赖的、可依靠的、符合决策有用性的会计信息系统的内在规律，掌握将会计准则、企业内控标准、业务流程及业务规则合理嵌入信息系统以有效预防、控制企业各种商业风险的思维和技术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2" w:hRule="exact"/>
          <w:jc w:val="center"/>
        </w:trPr>
        <w:tc>
          <w:tcPr>
            <w:tcW w:w="1110" w:type="dxa"/>
            <w:vAlign w:val="center"/>
          </w:tcPr>
          <w:p>
            <w:pPr>
              <w:widowControl/>
              <w:jc w:val="center"/>
              <w:rPr>
                <w:rFonts w:ascii="黑体" w:hAnsi="黑体" w:eastAsia="黑体"/>
                <w:bCs/>
                <w:sz w:val="18"/>
                <w:szCs w:val="18"/>
              </w:rPr>
            </w:pPr>
            <w:r>
              <w:rPr>
                <w:rFonts w:hint="eastAsia" w:ascii="黑体" w:hAnsi="黑体" w:eastAsia="黑体"/>
                <w:bCs/>
                <w:sz w:val="18"/>
                <w:szCs w:val="18"/>
              </w:rPr>
              <w:t>2</w:t>
            </w:r>
          </w:p>
        </w:tc>
        <w:tc>
          <w:tcPr>
            <w:tcW w:w="2118" w:type="dxa"/>
            <w:vAlign w:val="center"/>
          </w:tcPr>
          <w:p>
            <w:pPr>
              <w:rPr>
                <w:sz w:val="18"/>
                <w:szCs w:val="18"/>
              </w:rPr>
            </w:pPr>
            <w:r>
              <w:rPr>
                <w:rFonts w:hint="eastAsia"/>
                <w:sz w:val="18"/>
                <w:szCs w:val="18"/>
              </w:rPr>
              <w:t>企业经营决策沙盘模拟</w:t>
            </w:r>
          </w:p>
        </w:tc>
        <w:tc>
          <w:tcPr>
            <w:tcW w:w="5922" w:type="dxa"/>
            <w:tcBorders>
              <w:top w:val="single" w:color="auto" w:sz="4" w:space="0"/>
              <w:bottom w:val="single" w:color="auto" w:sz="4" w:space="0"/>
            </w:tcBorders>
            <w:vAlign w:val="center"/>
          </w:tcPr>
          <w:p>
            <w:pPr>
              <w:rPr>
                <w:sz w:val="18"/>
                <w:szCs w:val="18"/>
              </w:rPr>
            </w:pPr>
            <w:r>
              <w:rPr>
                <w:rFonts w:hint="eastAsia"/>
                <w:sz w:val="18"/>
                <w:szCs w:val="18"/>
              </w:rPr>
              <w:t>本课程借助虚拟仿真技术的天然优势，为学生提供逼真的模拟企业经营决策环境，丰富教学形式、充实教学内容，有助于夯实学生的理论基础，提高学生的实际操作能力和理论运用能力。本课程为了给学生一个真正的管理企业的体验，把财务管理决策、计划、控制过程和商战模拟很好地结合在一起，让学生体会财务管理知识在实际中的应用，通过多个学生协作模拟企业的经营，培养学生的团队精神，全面提升经营决策能力。学生可以在每一回合制定决策的过程中，利用实验平台提供的各类分析工具，帮助模拟公司在市场竞争中调整战略，从而达到学习-实践-反思-再学习的良性循环，寓教于乐，有助于打破传统教育理论与实务的脱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9" w:hRule="exact"/>
          <w:jc w:val="center"/>
        </w:trPr>
        <w:tc>
          <w:tcPr>
            <w:tcW w:w="1110" w:type="dxa"/>
            <w:vAlign w:val="center"/>
          </w:tcPr>
          <w:p>
            <w:pPr>
              <w:widowControl/>
              <w:jc w:val="center"/>
              <w:rPr>
                <w:rFonts w:ascii="黑体" w:hAnsi="黑体" w:eastAsia="黑体"/>
                <w:bCs/>
                <w:sz w:val="18"/>
                <w:szCs w:val="18"/>
              </w:rPr>
            </w:pPr>
            <w:r>
              <w:rPr>
                <w:rFonts w:hint="eastAsia" w:ascii="黑体" w:hAnsi="黑体" w:eastAsia="黑体"/>
                <w:bCs/>
                <w:sz w:val="18"/>
                <w:szCs w:val="18"/>
              </w:rPr>
              <w:t>3</w:t>
            </w:r>
          </w:p>
        </w:tc>
        <w:tc>
          <w:tcPr>
            <w:tcW w:w="2118" w:type="dxa"/>
            <w:vAlign w:val="center"/>
          </w:tcPr>
          <w:p>
            <w:pPr>
              <w:rPr>
                <w:sz w:val="18"/>
                <w:szCs w:val="18"/>
              </w:rPr>
            </w:pPr>
            <w:r>
              <w:rPr>
                <w:rFonts w:hint="eastAsia"/>
                <w:sz w:val="18"/>
                <w:szCs w:val="18"/>
              </w:rPr>
              <w:t>RPA与智能会计</w:t>
            </w:r>
          </w:p>
        </w:tc>
        <w:tc>
          <w:tcPr>
            <w:tcW w:w="5922" w:type="dxa"/>
            <w:tcBorders>
              <w:top w:val="single" w:color="auto" w:sz="4" w:space="0"/>
              <w:bottom w:val="single" w:color="auto" w:sz="4" w:space="0"/>
            </w:tcBorders>
            <w:vAlign w:val="center"/>
          </w:tcPr>
          <w:p>
            <w:pPr>
              <w:rPr>
                <w:sz w:val="18"/>
                <w:szCs w:val="18"/>
              </w:rPr>
            </w:pPr>
            <w:r>
              <w:rPr>
                <w:rFonts w:hint="eastAsia"/>
                <w:sz w:val="18"/>
                <w:szCs w:val="18"/>
              </w:rPr>
              <w:t>本课程主要包括理论讲解和实验教学两大部分，理论讲解主要包括人工智能与智能会计理论概述、RPA认知与主流RPA软件产品的功能与应用案例、各类典型业务的智能会计实现与应用方案，实验教学则主要借助用友智多星RPA软件开展基于案例的实验实训，引导学生进行RPA规划梳理、流程优化以及部署财务机器人方案等。本课程有助于培养学生充分理解并掌握人工智能、RPA的基本理念、机理与方法，赋能后者能够合理运用这些理念与工具方法为企事业单位构建智能会计的解决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9" w:hRule="exact"/>
          <w:jc w:val="center"/>
        </w:trPr>
        <w:tc>
          <w:tcPr>
            <w:tcW w:w="1110" w:type="dxa"/>
            <w:vAlign w:val="center"/>
          </w:tcPr>
          <w:p>
            <w:pPr>
              <w:widowControl/>
              <w:jc w:val="center"/>
              <w:rPr>
                <w:rFonts w:ascii="黑体" w:hAnsi="黑体" w:eastAsia="黑体"/>
                <w:bCs/>
                <w:sz w:val="18"/>
                <w:szCs w:val="18"/>
              </w:rPr>
            </w:pPr>
            <w:r>
              <w:rPr>
                <w:rFonts w:hint="eastAsia" w:ascii="黑体" w:hAnsi="黑体" w:eastAsia="黑体"/>
                <w:bCs/>
                <w:sz w:val="18"/>
                <w:szCs w:val="18"/>
              </w:rPr>
              <w:t>4</w:t>
            </w:r>
          </w:p>
        </w:tc>
        <w:tc>
          <w:tcPr>
            <w:tcW w:w="2118" w:type="dxa"/>
            <w:vAlign w:val="center"/>
          </w:tcPr>
          <w:p>
            <w:pPr>
              <w:rPr>
                <w:sz w:val="18"/>
                <w:szCs w:val="18"/>
              </w:rPr>
            </w:pPr>
            <w:r>
              <w:rPr>
                <w:rFonts w:hint="eastAsia"/>
                <w:sz w:val="18"/>
                <w:szCs w:val="18"/>
              </w:rPr>
              <w:t>商业智能与财会决策支持</w:t>
            </w:r>
          </w:p>
        </w:tc>
        <w:tc>
          <w:tcPr>
            <w:tcW w:w="5922" w:type="dxa"/>
            <w:tcBorders>
              <w:top w:val="single" w:color="auto" w:sz="4" w:space="0"/>
              <w:bottom w:val="single" w:color="auto" w:sz="4" w:space="0"/>
            </w:tcBorders>
            <w:vAlign w:val="center"/>
          </w:tcPr>
          <w:p>
            <w:pPr>
              <w:rPr>
                <w:sz w:val="18"/>
                <w:szCs w:val="18"/>
              </w:rPr>
            </w:pPr>
            <w:r>
              <w:rPr>
                <w:rFonts w:hint="eastAsia"/>
                <w:sz w:val="18"/>
                <w:szCs w:val="18"/>
              </w:rPr>
              <w:t>本课程主要包括理论讲解和实验教学两大部分，理论讲解主要包括商业智能理论概述、计算机财会决策支持方法与建模技术、数据挖掘及其主要方法、商业智能的ETL与在线分析处理方法，实验教学则主要围绕新道V决策平台的应用案例引导学生掌握商业智能系统的数据挖掘方法、OLAP应用技术、财会决策支持模型构建技术等方面的内容。由于商业智能涉及的技术复杂性，本课程教学时着重讲授商业智能的核心理念和骨干技术，侧重从企事业单位财会决策信息的建模、挖掘、诊断解决、问题治理等实战角度来体验商业智能系统的应用流程与技术方法，让学生容易理解掌握复杂技术并且能够运用商业智能技术支持企业财会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9" w:hRule="exact"/>
          <w:jc w:val="center"/>
        </w:trPr>
        <w:tc>
          <w:tcPr>
            <w:tcW w:w="1110" w:type="dxa"/>
            <w:vAlign w:val="center"/>
          </w:tcPr>
          <w:p>
            <w:pPr>
              <w:widowControl/>
              <w:jc w:val="center"/>
              <w:rPr>
                <w:rFonts w:ascii="黑体" w:hAnsi="黑体" w:eastAsia="黑体"/>
                <w:bCs/>
                <w:sz w:val="18"/>
                <w:szCs w:val="18"/>
              </w:rPr>
            </w:pPr>
            <w:r>
              <w:rPr>
                <w:rFonts w:hint="eastAsia" w:ascii="黑体" w:hAnsi="黑体" w:eastAsia="黑体"/>
                <w:bCs/>
                <w:sz w:val="18"/>
                <w:szCs w:val="18"/>
              </w:rPr>
              <w:t>5</w:t>
            </w:r>
          </w:p>
        </w:tc>
        <w:tc>
          <w:tcPr>
            <w:tcW w:w="2118" w:type="dxa"/>
            <w:vAlign w:val="center"/>
          </w:tcPr>
          <w:p>
            <w:pPr>
              <w:rPr>
                <w:sz w:val="18"/>
                <w:szCs w:val="18"/>
              </w:rPr>
            </w:pPr>
            <w:r>
              <w:rPr>
                <w:rFonts w:hint="eastAsia"/>
                <w:sz w:val="18"/>
                <w:szCs w:val="18"/>
              </w:rPr>
              <w:t>财务共享原理与实践</w:t>
            </w:r>
          </w:p>
        </w:tc>
        <w:tc>
          <w:tcPr>
            <w:tcW w:w="5922" w:type="dxa"/>
            <w:tcBorders>
              <w:top w:val="single" w:color="auto" w:sz="4" w:space="0"/>
              <w:bottom w:val="single" w:color="auto" w:sz="4" w:space="0"/>
            </w:tcBorders>
            <w:vAlign w:val="center"/>
          </w:tcPr>
          <w:p>
            <w:pPr>
              <w:rPr>
                <w:sz w:val="18"/>
                <w:szCs w:val="18"/>
              </w:rPr>
            </w:pPr>
            <w:r>
              <w:rPr>
                <w:rFonts w:hint="eastAsia"/>
                <w:sz w:val="18"/>
                <w:szCs w:val="18"/>
              </w:rPr>
              <w:t>本课程主要包括理论讲解和实验教学两大部分，理论讲解主要包括财务共享原理概述、财务共享的技术发展与企业应用现状、企业财务共享服务建设方法论、财务共享服务的战略定位及模式选择、实现财务共享服务的配套机制设计；实验教学则主要围绕新道云财务共享服务平台的应用案例引导学生学习掌握财务共享服务中的费用共享、采购管理-应付共享、销售管理-应收共享、资金结算共享、固定资产共享、财务共享中心运营管理等。本课程将实际应用于企业的财务共享平台技术以完整的形式呈现给学生，可以帮助学生掌握和理解财务共享服务的基本原理、技术要求，并通过对案例企业的财务共享进行实际规划、设计、建设流程、测试、运行和评价的实验环节提升实操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9" w:hRule="exact"/>
          <w:jc w:val="center"/>
        </w:trPr>
        <w:tc>
          <w:tcPr>
            <w:tcW w:w="1110" w:type="dxa"/>
            <w:vAlign w:val="center"/>
          </w:tcPr>
          <w:p>
            <w:pPr>
              <w:widowControl/>
              <w:jc w:val="center"/>
              <w:rPr>
                <w:rFonts w:ascii="黑体" w:hAnsi="黑体" w:eastAsia="黑体"/>
                <w:bCs/>
                <w:sz w:val="18"/>
                <w:szCs w:val="18"/>
              </w:rPr>
            </w:pPr>
            <w:r>
              <w:rPr>
                <w:rFonts w:hint="eastAsia" w:ascii="黑体" w:hAnsi="黑体" w:eastAsia="黑体"/>
                <w:bCs/>
                <w:sz w:val="18"/>
                <w:szCs w:val="18"/>
              </w:rPr>
              <w:t>6</w:t>
            </w:r>
          </w:p>
        </w:tc>
        <w:tc>
          <w:tcPr>
            <w:tcW w:w="2118" w:type="dxa"/>
            <w:vAlign w:val="center"/>
          </w:tcPr>
          <w:p>
            <w:pPr>
              <w:rPr>
                <w:sz w:val="18"/>
                <w:szCs w:val="18"/>
              </w:rPr>
            </w:pPr>
            <w:r>
              <w:rPr>
                <w:rFonts w:hint="eastAsia"/>
                <w:sz w:val="18"/>
                <w:szCs w:val="18"/>
              </w:rPr>
              <w:t>区块链技术及其应用案例</w:t>
            </w:r>
          </w:p>
        </w:tc>
        <w:tc>
          <w:tcPr>
            <w:tcW w:w="5922" w:type="dxa"/>
            <w:tcBorders>
              <w:top w:val="single" w:color="auto" w:sz="4" w:space="0"/>
              <w:bottom w:val="single" w:color="auto" w:sz="4" w:space="0"/>
            </w:tcBorders>
            <w:vAlign w:val="center"/>
          </w:tcPr>
          <w:p>
            <w:pPr>
              <w:rPr>
                <w:sz w:val="18"/>
                <w:szCs w:val="18"/>
              </w:rPr>
            </w:pPr>
            <w:r>
              <w:rPr>
                <w:rFonts w:hint="eastAsia"/>
                <w:sz w:val="18"/>
                <w:szCs w:val="18"/>
              </w:rPr>
              <w:t>本课程以提升本科生基于区块链逻辑的实践能力为目的而开设的课程。通过本课程的学习，学生可全面了解区块链的发展及演进，掌握区块链构造的基本知识，理解区块链的价值，了解区块链给社会、企业带来的机遇与挑战；有助于学生全面了解区块链技术架构，理解区块链核心技术，例如共识算法、数据存储、智能合约、密码算法、隐私保护、多链技术、跨链技术等，了解区块链典型技术平台，如比特币，以太坊，超级账本等，熟悉区块链的应用场景，例如区块链金融，区块链供应链管理，区块链政务等；有助于学生深入理解区块链在财会审的应用价值和应用内容，例如区块链电子发票业务的会计处理，着重掌握财会审中的区块链鉴证与安全问题。</w:t>
            </w:r>
          </w:p>
        </w:tc>
      </w:tr>
    </w:tbl>
    <w:p/>
    <w:sectPr>
      <w:pgSz w:w="11906" w:h="16838"/>
      <w:pgMar w:top="1134" w:right="1418" w:bottom="1134" w:left="1418" w:header="851" w:footer="45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WIyODhkODhlYzU3MWY1YWRiMWQzM2U3MWEwY2I5NWMifQ=="/>
  </w:docVars>
  <w:rsids>
    <w:rsidRoot w:val="0AE32D0C"/>
    <w:rsid w:val="000703B8"/>
    <w:rsid w:val="00072583"/>
    <w:rsid w:val="002B2B4A"/>
    <w:rsid w:val="002D1061"/>
    <w:rsid w:val="003264D3"/>
    <w:rsid w:val="00372B72"/>
    <w:rsid w:val="004076D7"/>
    <w:rsid w:val="004B5A3E"/>
    <w:rsid w:val="005A165E"/>
    <w:rsid w:val="005E6625"/>
    <w:rsid w:val="00771443"/>
    <w:rsid w:val="007D06E0"/>
    <w:rsid w:val="00836D30"/>
    <w:rsid w:val="008B0B48"/>
    <w:rsid w:val="009A2A5B"/>
    <w:rsid w:val="009C01D1"/>
    <w:rsid w:val="009D2202"/>
    <w:rsid w:val="00A02F7C"/>
    <w:rsid w:val="00A66848"/>
    <w:rsid w:val="00B7379E"/>
    <w:rsid w:val="00B83B94"/>
    <w:rsid w:val="00BC4E47"/>
    <w:rsid w:val="00CC07EC"/>
    <w:rsid w:val="00CD2D70"/>
    <w:rsid w:val="00CD6861"/>
    <w:rsid w:val="00D430D0"/>
    <w:rsid w:val="00D529C8"/>
    <w:rsid w:val="00D643F0"/>
    <w:rsid w:val="00DA0AC3"/>
    <w:rsid w:val="00DD782D"/>
    <w:rsid w:val="00DF002E"/>
    <w:rsid w:val="00E5111E"/>
    <w:rsid w:val="00E5772D"/>
    <w:rsid w:val="00EF25CE"/>
    <w:rsid w:val="00EF71B1"/>
    <w:rsid w:val="00F16F11"/>
    <w:rsid w:val="00F83AC6"/>
    <w:rsid w:val="00F8560B"/>
    <w:rsid w:val="02641DFB"/>
    <w:rsid w:val="09F732F1"/>
    <w:rsid w:val="0AE32D0C"/>
    <w:rsid w:val="1165300E"/>
    <w:rsid w:val="14AA5D75"/>
    <w:rsid w:val="175A6EDF"/>
    <w:rsid w:val="1EEF22CE"/>
    <w:rsid w:val="21BF3E1B"/>
    <w:rsid w:val="3D7106DB"/>
    <w:rsid w:val="42C57B40"/>
    <w:rsid w:val="46E13E64"/>
    <w:rsid w:val="496038EF"/>
    <w:rsid w:val="514549C4"/>
    <w:rsid w:val="56265B54"/>
    <w:rsid w:val="5B1109E7"/>
    <w:rsid w:val="5C2667BC"/>
    <w:rsid w:val="60E0197E"/>
    <w:rsid w:val="61F75B3A"/>
    <w:rsid w:val="6221580D"/>
    <w:rsid w:val="64844FF7"/>
    <w:rsid w:val="649F2FD7"/>
    <w:rsid w:val="68743DF9"/>
    <w:rsid w:val="687B4B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Body Text Indent"/>
    <w:basedOn w:val="1"/>
    <w:link w:val="7"/>
    <w:qFormat/>
    <w:uiPriority w:val="99"/>
    <w:pPr>
      <w:spacing w:line="360" w:lineRule="auto"/>
      <w:ind w:firstLine="480" w:firstLineChars="200"/>
    </w:pPr>
    <w:rPr>
      <w:kern w:val="2"/>
      <w:sz w:val="24"/>
      <w:szCs w:val="24"/>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正文文本缩进 Char"/>
    <w:basedOn w:val="6"/>
    <w:link w:val="3"/>
    <w:qFormat/>
    <w:uiPriority w:val="99"/>
    <w:rPr>
      <w:kern w:val="2"/>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2618</Words>
  <Characters>235</Characters>
  <Lines>1</Lines>
  <Paragraphs>5</Paragraphs>
  <TotalTime>1</TotalTime>
  <ScaleCrop>false</ScaleCrop>
  <LinksUpToDate>false</LinksUpToDate>
  <CharactersWithSpaces>2848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2024-03-13T23:22:00Z</dcterms:created>
  <dc:creator>Shine_ZHOU</dc:creator>
  <cp:lastModifiedBy>彼岸花开</cp:lastModifiedBy>
  <dcterms:modified xsi:type="dcterms:W3CDTF">2024-06-13T02:41:46Z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89BE444AC31A41DE92AD2CE08303C9EE</vt:lpwstr>
  </property>
</Properties>
</file>