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exact"/>
        <w:ind w:left="558" w:hanging="558" w:hangingChars="155"/>
        <w:jc w:val="center"/>
        <w:rPr>
          <w:rFonts w:eastAsia="方正小标宋简体" w:cs="方正小标宋简体"/>
          <w:bCs/>
          <w:sz w:val="36"/>
          <w:szCs w:val="36"/>
        </w:rPr>
      </w:pPr>
      <w:bookmarkStart w:id="0" w:name="_Hlk151640443"/>
      <w:r>
        <w:rPr>
          <w:rFonts w:hint="eastAsia" w:eastAsia="方正小标宋简体" w:cs="方正小标宋简体"/>
          <w:bCs/>
          <w:sz w:val="36"/>
          <w:szCs w:val="36"/>
        </w:rPr>
        <w:t>金融学院</w:t>
      </w:r>
      <w:bookmarkStart w:id="1" w:name="_Hlk151640077"/>
      <w:r>
        <w:rPr>
          <w:rFonts w:hint="eastAsia" w:eastAsia="方正小标宋简体" w:cs="方正小标宋简体"/>
          <w:bCs/>
          <w:sz w:val="36"/>
          <w:szCs w:val="36"/>
        </w:rPr>
        <w:t>“</w:t>
      </w:r>
      <w:bookmarkStart w:id="2" w:name="_Hlk151639022"/>
      <w:r>
        <w:rPr>
          <w:rFonts w:hint="eastAsia" w:eastAsia="方正小标宋简体" w:cs="方正小标宋简体"/>
          <w:bCs/>
          <w:sz w:val="36"/>
          <w:szCs w:val="36"/>
        </w:rPr>
        <w:t>金融投资与风险管理”</w:t>
      </w:r>
      <w:bookmarkEnd w:id="1"/>
      <w:bookmarkEnd w:id="2"/>
      <w:r>
        <w:rPr>
          <w:rFonts w:hint="eastAsia" w:eastAsia="方正小标宋简体" w:cs="方正小标宋简体"/>
          <w:bCs/>
          <w:sz w:val="36"/>
          <w:szCs w:val="36"/>
        </w:rPr>
        <w:t>微专业</w:t>
      </w:r>
      <w:bookmarkEnd w:id="0"/>
    </w:p>
    <w:p>
      <w:pPr>
        <w:spacing w:before="156" w:beforeLines="50" w:after="156" w:afterLines="50" w:line="480" w:lineRule="exact"/>
        <w:ind w:left="558" w:hanging="558" w:hangingChars="155"/>
        <w:jc w:val="center"/>
        <w:rPr>
          <w:rFonts w:eastAsia="方正小标宋简体" w:cs="方正小标宋简体"/>
          <w:sz w:val="36"/>
          <w:szCs w:val="36"/>
        </w:rPr>
      </w:pPr>
      <w:r>
        <w:rPr>
          <w:rFonts w:hint="eastAsia" w:eastAsia="方正小标宋简体" w:cs="方正小标宋简体"/>
          <w:bCs/>
          <w:sz w:val="36"/>
          <w:szCs w:val="36"/>
        </w:rPr>
        <w:t>人才培养方案</w:t>
      </w:r>
    </w:p>
    <w:p>
      <w:pPr>
        <w:widowControl/>
        <w:spacing w:after="156" w:line="0" w:lineRule="atLeast"/>
        <w:ind w:firstLine="560" w:firstLineChars="200"/>
        <w:jc w:val="left"/>
        <w:rPr>
          <w:rFonts w:eastAsia="黑体" w:cs="黑体"/>
          <w:bCs/>
          <w:sz w:val="28"/>
          <w:szCs w:val="28"/>
        </w:rPr>
      </w:pPr>
    </w:p>
    <w:p>
      <w:pPr>
        <w:widowControl/>
        <w:spacing w:after="156" w:line="0" w:lineRule="atLeast"/>
        <w:ind w:firstLine="560" w:firstLineChars="200"/>
        <w:jc w:val="left"/>
        <w:rPr>
          <w:rFonts w:eastAsia="黑体" w:cs="黑体"/>
          <w:bCs/>
          <w:sz w:val="28"/>
          <w:szCs w:val="28"/>
        </w:rPr>
      </w:pPr>
      <w:r>
        <w:rPr>
          <w:rFonts w:hint="eastAsia" w:eastAsia="黑体" w:cs="黑体"/>
          <w:bCs/>
          <w:sz w:val="28"/>
          <w:szCs w:val="28"/>
        </w:rPr>
        <w:t>一、专业培养目标</w:t>
      </w:r>
    </w:p>
    <w:p>
      <w:pPr>
        <w:pStyle w:val="2"/>
        <w:adjustRightInd w:val="0"/>
        <w:snapToGrid w:val="0"/>
        <w:rPr>
          <w:rFonts w:ascii="Times New Roman" w:hAnsi="Times New Roman"/>
          <w:szCs w:val="24"/>
        </w:rPr>
      </w:pPr>
      <w:r>
        <w:rPr>
          <w:rFonts w:hint="eastAsia" w:ascii="Times New Roman" w:hAnsi="Times New Roman"/>
          <w:szCs w:val="24"/>
        </w:rPr>
        <w:t>首都经济贸易大学金融学院“金融投资与风险管理”微专业以培养学生通用素质和通用技能为核心特色，以提升学生就业能力和综合素质为培养目标。重视学生金融知识和职业技能培养，结合职业资格考试包括CFA（注册金融分析师）、FRM（金融风险管理师）及E</w:t>
      </w:r>
      <w:r>
        <w:rPr>
          <w:rFonts w:ascii="Times New Roman" w:hAnsi="Times New Roman"/>
          <w:szCs w:val="24"/>
        </w:rPr>
        <w:t>SG</w:t>
      </w:r>
      <w:r>
        <w:rPr>
          <w:rFonts w:hint="eastAsia" w:ascii="Times New Roman" w:hAnsi="Times New Roman"/>
          <w:szCs w:val="24"/>
        </w:rPr>
        <w:t>（E</w:t>
      </w:r>
      <w:r>
        <w:rPr>
          <w:rFonts w:ascii="Times New Roman" w:hAnsi="Times New Roman"/>
          <w:szCs w:val="24"/>
        </w:rPr>
        <w:t>SG</w:t>
      </w:r>
      <w:r>
        <w:rPr>
          <w:rFonts w:hint="eastAsia" w:ascii="Times New Roman" w:hAnsi="Times New Roman"/>
          <w:szCs w:val="24"/>
        </w:rPr>
        <w:t>商业分析师）等内容进行课程设置。较为明确的授课目的和专业化的授课内容，一方面注重学生对金融投资分析和风险管理工具的实践应用，培养学生在复杂金融环境下的投融资决策和判断能力；另一方面系统化针对性的授课内容为学生参加CFA（注册金融分析师）、FRM（金融风险管理师）、E</w:t>
      </w:r>
      <w:r>
        <w:rPr>
          <w:rFonts w:ascii="Times New Roman" w:hAnsi="Times New Roman"/>
          <w:szCs w:val="24"/>
        </w:rPr>
        <w:t>SG</w:t>
      </w:r>
      <w:r>
        <w:rPr>
          <w:rFonts w:hint="eastAsia" w:ascii="Times New Roman" w:hAnsi="Times New Roman"/>
          <w:szCs w:val="24"/>
        </w:rPr>
        <w:t>（E</w:t>
      </w:r>
      <w:r>
        <w:rPr>
          <w:rFonts w:ascii="Times New Roman" w:hAnsi="Times New Roman"/>
          <w:szCs w:val="24"/>
        </w:rPr>
        <w:t>SG</w:t>
      </w:r>
      <w:r>
        <w:rPr>
          <w:rFonts w:hint="eastAsia" w:ascii="Times New Roman" w:hAnsi="Times New Roman"/>
          <w:szCs w:val="24"/>
        </w:rPr>
        <w:t>商业分析师）等职业资格考试奠定良好的知识基础，优质的校内资源助力学生获得高端职业资格证书，提高毕业就业竞争力。</w:t>
      </w:r>
    </w:p>
    <w:p>
      <w:pPr>
        <w:widowControl/>
        <w:spacing w:after="156" w:line="0" w:lineRule="atLeast"/>
        <w:ind w:firstLine="560" w:firstLineChars="200"/>
        <w:jc w:val="left"/>
        <w:rPr>
          <w:rFonts w:eastAsia="黑体" w:cs="黑体"/>
          <w:bCs/>
          <w:sz w:val="28"/>
          <w:szCs w:val="28"/>
        </w:rPr>
      </w:pPr>
      <w:r>
        <w:rPr>
          <w:rFonts w:hint="eastAsia" w:eastAsia="黑体" w:cs="黑体"/>
          <w:bCs/>
          <w:sz w:val="28"/>
          <w:szCs w:val="28"/>
        </w:rPr>
        <w:t>二、毕业要求</w:t>
      </w:r>
    </w:p>
    <w:p>
      <w:pPr>
        <w:pStyle w:val="2"/>
        <w:adjustRightInd w:val="0"/>
        <w:snapToGrid w:val="0"/>
        <w:rPr>
          <w:rFonts w:ascii="Times New Roman" w:hAnsi="Times New Roman"/>
          <w:szCs w:val="24"/>
        </w:rPr>
      </w:pPr>
      <w:r>
        <w:rPr>
          <w:rFonts w:hint="eastAsia" w:ascii="Times New Roman" w:hAnsi="Times New Roman"/>
          <w:szCs w:val="24"/>
        </w:rPr>
        <w:t>本微专业课程原则上须组织线下集中考核，微专业课程成绩单列成绩单，计入学生学业档案。各门课程考核方式将基于过程性评价与终结性评价相结合的原则，由课程教学团队根据授课需要灵活自主确定。修读微专业的学生，学完全部课程并经考核合格后结业，可获得学校颁发的“金融投资与风险管理”微专业证书。</w:t>
      </w:r>
    </w:p>
    <w:p>
      <w:pPr>
        <w:spacing w:before="156" w:beforeLines="50" w:after="156" w:afterLines="50" w:line="480" w:lineRule="exact"/>
        <w:ind w:firstLine="560" w:firstLineChars="200"/>
        <w:rPr>
          <w:b/>
          <w:sz w:val="28"/>
          <w:szCs w:val="28"/>
        </w:rPr>
      </w:pPr>
      <w:r>
        <w:rPr>
          <w:rFonts w:hint="eastAsia" w:eastAsia="黑体" w:cs="黑体"/>
          <w:bCs/>
          <w:sz w:val="28"/>
          <w:szCs w:val="28"/>
        </w:rPr>
        <w:t>三、招生对象与条件</w:t>
      </w:r>
    </w:p>
    <w:p>
      <w:pPr>
        <w:pStyle w:val="2"/>
        <w:adjustRightInd w:val="0"/>
        <w:snapToGrid w:val="0"/>
        <w:rPr>
          <w:rFonts w:ascii="Times New Roman" w:hAnsi="Times New Roman"/>
          <w:szCs w:val="24"/>
        </w:rPr>
      </w:pPr>
      <w:r>
        <w:rPr>
          <w:rFonts w:hint="eastAsia" w:ascii="Times New Roman" w:hAnsi="Times New Roman"/>
          <w:szCs w:val="24"/>
        </w:rPr>
        <w:t>全校大一至大三全日制在校本科学生。</w:t>
      </w:r>
    </w:p>
    <w:p>
      <w:pPr>
        <w:pStyle w:val="2"/>
        <w:adjustRightInd w:val="0"/>
        <w:snapToGrid w:val="0"/>
        <w:rPr>
          <w:rFonts w:ascii="Times New Roman" w:hAnsi="Times New Roman"/>
          <w:szCs w:val="24"/>
        </w:rPr>
      </w:pPr>
      <w:r>
        <w:rPr>
          <w:rFonts w:hint="eastAsia" w:ascii="Times New Roman" w:hAnsi="Times New Roman"/>
          <w:szCs w:val="24"/>
        </w:rPr>
        <w:t>需修读的前置课程包括：宏观经济学、微观经济学、金融学、会计学、计量经济学</w:t>
      </w:r>
    </w:p>
    <w:p>
      <w:pPr>
        <w:spacing w:before="156" w:beforeLines="50" w:after="156" w:afterLines="50" w:line="480" w:lineRule="exact"/>
        <w:ind w:firstLine="560" w:firstLineChars="200"/>
        <w:rPr>
          <w:rFonts w:eastAsia="黑体" w:cs="黑体"/>
          <w:bCs/>
          <w:sz w:val="28"/>
          <w:szCs w:val="28"/>
        </w:rPr>
      </w:pPr>
      <w:r>
        <w:rPr>
          <w:rFonts w:hint="eastAsia" w:eastAsia="黑体" w:cs="黑体"/>
          <w:bCs/>
          <w:sz w:val="28"/>
          <w:szCs w:val="28"/>
        </w:rPr>
        <w:t>四、学分与证书</w:t>
      </w:r>
    </w:p>
    <w:p>
      <w:pPr>
        <w:pStyle w:val="2"/>
        <w:adjustRightInd w:val="0"/>
        <w:snapToGrid w:val="0"/>
        <w:rPr>
          <w:rFonts w:ascii="Times New Roman" w:hAnsi="Times New Roman"/>
          <w:szCs w:val="24"/>
        </w:rPr>
      </w:pPr>
      <w:r>
        <w:rPr>
          <w:rFonts w:hint="eastAsia" w:ascii="Times New Roman" w:hAnsi="Times New Roman"/>
          <w:szCs w:val="24"/>
        </w:rPr>
        <w:t>本微专业采用线上、线下、线上线下混合等多种形式开展教学，共设置8门具有核心功能的课程，总学分1</w:t>
      </w:r>
      <w:r>
        <w:rPr>
          <w:rFonts w:ascii="Times New Roman" w:hAnsi="Times New Roman"/>
          <w:szCs w:val="24"/>
        </w:rPr>
        <w:t>6</w:t>
      </w:r>
      <w:r>
        <w:rPr>
          <w:rFonts w:hint="eastAsia" w:ascii="Times New Roman" w:hAnsi="Times New Roman"/>
          <w:szCs w:val="24"/>
        </w:rPr>
        <w:t>学分；本微专业学制为2个学期。学完全部课程并经考核合格，可获得学校颁发的“金融投资与风险管理”微专业证书。</w:t>
      </w:r>
    </w:p>
    <w:p>
      <w:pPr>
        <w:pStyle w:val="2"/>
        <w:adjustRightInd w:val="0"/>
        <w:snapToGrid w:val="0"/>
        <w:rPr>
          <w:rFonts w:ascii="Times New Roman" w:hAnsi="Times New Roman"/>
          <w:szCs w:val="24"/>
        </w:rPr>
      </w:pPr>
    </w:p>
    <w:p>
      <w:pPr>
        <w:pStyle w:val="2"/>
        <w:adjustRightInd w:val="0"/>
        <w:snapToGrid w:val="0"/>
        <w:rPr>
          <w:rFonts w:ascii="Times New Roman" w:hAnsi="Times New Roman"/>
          <w:szCs w:val="24"/>
        </w:rPr>
      </w:pPr>
    </w:p>
    <w:p>
      <w:pPr>
        <w:pStyle w:val="2"/>
        <w:adjustRightInd w:val="0"/>
        <w:snapToGrid w:val="0"/>
        <w:rPr>
          <w:rFonts w:ascii="Times New Roman" w:hAnsi="Times New Roman"/>
          <w:szCs w:val="24"/>
        </w:rPr>
      </w:pPr>
    </w:p>
    <w:p>
      <w:pPr>
        <w:spacing w:before="156" w:beforeLines="50" w:after="156" w:afterLines="50" w:line="480" w:lineRule="exact"/>
        <w:ind w:firstLine="560" w:firstLineChars="200"/>
        <w:rPr>
          <w:rFonts w:eastAsia="黑体" w:cs="黑体"/>
          <w:bCs/>
          <w:sz w:val="28"/>
          <w:szCs w:val="28"/>
        </w:rPr>
      </w:pPr>
      <w:r>
        <w:rPr>
          <w:rFonts w:hint="eastAsia" w:eastAsia="黑体" w:cs="黑体"/>
          <w:bCs/>
          <w:sz w:val="28"/>
          <w:szCs w:val="28"/>
        </w:rPr>
        <w:t>五、课程设置</w:t>
      </w:r>
    </w:p>
    <w:p>
      <w:pPr>
        <w:widowControl/>
        <w:spacing w:after="156" w:line="0" w:lineRule="atLeast"/>
        <w:jc w:val="center"/>
        <w:rPr>
          <w:rFonts w:eastAsia="黑体" w:cs="黑体"/>
          <w:bCs/>
          <w:sz w:val="28"/>
          <w:szCs w:val="28"/>
        </w:rPr>
      </w:pPr>
      <w:r>
        <w:rPr>
          <w:rFonts w:hint="eastAsia" w:eastAsia="黑体" w:cs="黑体"/>
          <w:bCs/>
          <w:sz w:val="28"/>
          <w:szCs w:val="28"/>
        </w:rPr>
        <w:t>“金融投资与风险管理”微专业课程设置及教学进程计划表</w:t>
      </w:r>
    </w:p>
    <w:tbl>
      <w:tblPr>
        <w:tblStyle w:val="5"/>
        <w:tblW w:w="9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1312"/>
        <w:gridCol w:w="564"/>
        <w:gridCol w:w="764"/>
        <w:gridCol w:w="791"/>
        <w:gridCol w:w="736"/>
        <w:gridCol w:w="723"/>
        <w:gridCol w:w="730"/>
        <w:gridCol w:w="780"/>
        <w:gridCol w:w="1214"/>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vMerge w:val="restart"/>
            <w:tcBorders>
              <w:bottom w:val="single" w:color="auto" w:sz="4" w:space="0"/>
            </w:tcBorders>
            <w:vAlign w:val="center"/>
          </w:tcPr>
          <w:p>
            <w:pPr>
              <w:widowControl/>
              <w:jc w:val="center"/>
              <w:rPr>
                <w:rFonts w:eastAsia="黑体"/>
                <w:bCs/>
                <w:spacing w:val="20"/>
                <w:sz w:val="18"/>
                <w:szCs w:val="18"/>
              </w:rPr>
            </w:pPr>
            <w:r>
              <w:rPr>
                <w:rFonts w:hint="eastAsia" w:eastAsia="黑体"/>
                <w:bCs/>
                <w:sz w:val="18"/>
                <w:szCs w:val="18"/>
              </w:rPr>
              <w:t>课程名称</w:t>
            </w:r>
          </w:p>
        </w:tc>
        <w:tc>
          <w:tcPr>
            <w:tcW w:w="1312" w:type="dxa"/>
            <w:vMerge w:val="restart"/>
            <w:vAlign w:val="center"/>
          </w:tcPr>
          <w:p>
            <w:pPr>
              <w:widowControl/>
              <w:jc w:val="center"/>
              <w:rPr>
                <w:rFonts w:eastAsia="黑体"/>
                <w:bCs/>
                <w:sz w:val="18"/>
                <w:szCs w:val="18"/>
              </w:rPr>
            </w:pPr>
            <w:r>
              <w:rPr>
                <w:rFonts w:hint="eastAsia" w:eastAsia="黑体"/>
                <w:bCs/>
                <w:sz w:val="18"/>
                <w:szCs w:val="18"/>
              </w:rPr>
              <w:t>课程代码</w:t>
            </w:r>
          </w:p>
        </w:tc>
        <w:tc>
          <w:tcPr>
            <w:tcW w:w="564" w:type="dxa"/>
            <w:vMerge w:val="restart"/>
            <w:tcBorders>
              <w:bottom w:val="single" w:color="auto" w:sz="4" w:space="0"/>
            </w:tcBorders>
            <w:vAlign w:val="center"/>
          </w:tcPr>
          <w:p>
            <w:pPr>
              <w:widowControl/>
              <w:jc w:val="center"/>
              <w:rPr>
                <w:rFonts w:eastAsia="黑体"/>
                <w:bCs/>
                <w:spacing w:val="20"/>
                <w:sz w:val="18"/>
                <w:szCs w:val="18"/>
              </w:rPr>
            </w:pPr>
            <w:r>
              <w:rPr>
                <w:rFonts w:hint="eastAsia" w:eastAsia="黑体"/>
                <w:bCs/>
                <w:sz w:val="18"/>
                <w:szCs w:val="18"/>
              </w:rPr>
              <w:t>学分</w:t>
            </w:r>
          </w:p>
        </w:tc>
        <w:tc>
          <w:tcPr>
            <w:tcW w:w="764" w:type="dxa"/>
            <w:vMerge w:val="restart"/>
            <w:vAlign w:val="center"/>
          </w:tcPr>
          <w:p>
            <w:pPr>
              <w:widowControl/>
              <w:jc w:val="center"/>
              <w:rPr>
                <w:rFonts w:eastAsia="黑体"/>
                <w:bCs/>
                <w:sz w:val="18"/>
                <w:szCs w:val="18"/>
              </w:rPr>
            </w:pPr>
            <w:r>
              <w:rPr>
                <w:rFonts w:eastAsia="黑体"/>
                <w:bCs/>
                <w:sz w:val="18"/>
              </w:rPr>
              <w:t>总学时</w:t>
            </w:r>
          </w:p>
        </w:tc>
        <w:tc>
          <w:tcPr>
            <w:tcW w:w="2980" w:type="dxa"/>
            <w:gridSpan w:val="4"/>
            <w:tcBorders>
              <w:bottom w:val="single" w:color="auto" w:sz="4" w:space="0"/>
            </w:tcBorders>
            <w:vAlign w:val="center"/>
          </w:tcPr>
          <w:p>
            <w:pPr>
              <w:widowControl/>
              <w:jc w:val="center"/>
              <w:rPr>
                <w:rFonts w:eastAsia="黑体"/>
                <w:bCs/>
                <w:spacing w:val="20"/>
                <w:sz w:val="18"/>
                <w:szCs w:val="18"/>
              </w:rPr>
            </w:pPr>
            <w:r>
              <w:rPr>
                <w:rFonts w:eastAsia="黑体"/>
                <w:bCs/>
                <w:spacing w:val="75"/>
                <w:kern w:val="0"/>
                <w:sz w:val="18"/>
                <w:szCs w:val="18"/>
                <w:fitText w:val="840" w:id="1307458760"/>
              </w:rPr>
              <w:t>学时</w:t>
            </w:r>
            <w:r>
              <w:rPr>
                <w:rFonts w:hint="eastAsia" w:eastAsia="黑体"/>
                <w:bCs/>
                <w:spacing w:val="0"/>
                <w:kern w:val="0"/>
                <w:sz w:val="18"/>
                <w:szCs w:val="18"/>
                <w:fitText w:val="840" w:id="1307458760"/>
              </w:rPr>
              <w:t>分</w:t>
            </w:r>
            <w:r>
              <w:rPr>
                <w:rFonts w:hint="eastAsia" w:eastAsia="黑体"/>
                <w:bCs/>
                <w:sz w:val="18"/>
                <w:szCs w:val="18"/>
              </w:rPr>
              <w:t xml:space="preserve"> 配</w:t>
            </w:r>
          </w:p>
        </w:tc>
        <w:tc>
          <w:tcPr>
            <w:tcW w:w="780" w:type="dxa"/>
            <w:vMerge w:val="restart"/>
            <w:tcBorders>
              <w:bottom w:val="single" w:color="auto" w:sz="4" w:space="0"/>
            </w:tcBorders>
            <w:vAlign w:val="center"/>
          </w:tcPr>
          <w:p>
            <w:pPr>
              <w:widowControl/>
              <w:snapToGrid w:val="0"/>
              <w:jc w:val="center"/>
              <w:rPr>
                <w:rFonts w:eastAsia="黑体"/>
                <w:bCs/>
                <w:sz w:val="18"/>
                <w:szCs w:val="18"/>
              </w:rPr>
            </w:pPr>
            <w:r>
              <w:rPr>
                <w:rFonts w:hint="eastAsia" w:eastAsia="黑体"/>
                <w:bCs/>
                <w:sz w:val="18"/>
                <w:szCs w:val="18"/>
              </w:rPr>
              <w:t>考核</w:t>
            </w:r>
          </w:p>
          <w:p>
            <w:pPr>
              <w:widowControl/>
              <w:jc w:val="center"/>
              <w:rPr>
                <w:rFonts w:eastAsia="黑体"/>
                <w:bCs/>
                <w:spacing w:val="20"/>
                <w:sz w:val="18"/>
                <w:szCs w:val="18"/>
              </w:rPr>
            </w:pPr>
            <w:r>
              <w:rPr>
                <w:rFonts w:hint="eastAsia" w:eastAsia="黑体"/>
                <w:bCs/>
                <w:sz w:val="18"/>
                <w:szCs w:val="18"/>
              </w:rPr>
              <w:t>方式</w:t>
            </w:r>
          </w:p>
        </w:tc>
        <w:tc>
          <w:tcPr>
            <w:tcW w:w="1214" w:type="dxa"/>
            <w:vMerge w:val="restart"/>
            <w:tcBorders>
              <w:bottom w:val="single" w:color="auto" w:sz="4" w:space="0"/>
            </w:tcBorders>
            <w:vAlign w:val="center"/>
          </w:tcPr>
          <w:p>
            <w:pPr>
              <w:widowControl/>
              <w:jc w:val="center"/>
              <w:rPr>
                <w:rFonts w:eastAsia="黑体"/>
                <w:bCs/>
                <w:spacing w:val="20"/>
                <w:sz w:val="18"/>
                <w:szCs w:val="18"/>
              </w:rPr>
            </w:pPr>
            <w:r>
              <w:rPr>
                <w:rFonts w:hint="eastAsia" w:eastAsia="黑体"/>
                <w:bCs/>
                <w:spacing w:val="20"/>
                <w:sz w:val="18"/>
                <w:szCs w:val="18"/>
              </w:rPr>
              <w:t>开课单位</w:t>
            </w:r>
          </w:p>
        </w:tc>
        <w:tc>
          <w:tcPr>
            <w:tcW w:w="716" w:type="dxa"/>
            <w:vMerge w:val="restart"/>
            <w:tcBorders>
              <w:bottom w:val="single" w:color="auto" w:sz="4" w:space="0"/>
            </w:tcBorders>
            <w:vAlign w:val="center"/>
          </w:tcPr>
          <w:p>
            <w:pPr>
              <w:widowControl/>
              <w:snapToGrid w:val="0"/>
              <w:jc w:val="center"/>
              <w:rPr>
                <w:rFonts w:eastAsia="黑体"/>
                <w:bCs/>
                <w:sz w:val="18"/>
                <w:szCs w:val="18"/>
              </w:rPr>
            </w:pPr>
            <w:r>
              <w:rPr>
                <w:rFonts w:eastAsia="黑体"/>
                <w:bCs/>
                <w:sz w:val="18"/>
                <w:szCs w:val="18"/>
              </w:rPr>
              <w:t>开课</w:t>
            </w:r>
          </w:p>
          <w:p>
            <w:pPr>
              <w:widowControl/>
              <w:jc w:val="center"/>
              <w:rPr>
                <w:rFonts w:eastAsia="黑体"/>
                <w:bCs/>
                <w:spacing w:val="20"/>
                <w:sz w:val="18"/>
                <w:szCs w:val="18"/>
              </w:rPr>
            </w:pPr>
            <w:r>
              <w:rPr>
                <w:rFonts w:hint="eastAsia" w:eastAsia="黑体"/>
                <w:bCs/>
                <w:sz w:val="18"/>
                <w:szCs w:val="1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vMerge w:val="continue"/>
            <w:vAlign w:val="center"/>
          </w:tcPr>
          <w:p>
            <w:pPr>
              <w:widowControl/>
              <w:jc w:val="center"/>
              <w:rPr>
                <w:rFonts w:eastAsia="仿宋"/>
                <w:b/>
                <w:spacing w:val="20"/>
                <w:sz w:val="21"/>
                <w:szCs w:val="21"/>
              </w:rPr>
            </w:pPr>
          </w:p>
        </w:tc>
        <w:tc>
          <w:tcPr>
            <w:tcW w:w="1312" w:type="dxa"/>
            <w:vMerge w:val="continue"/>
            <w:vAlign w:val="center"/>
          </w:tcPr>
          <w:p>
            <w:pPr>
              <w:widowControl/>
              <w:jc w:val="center"/>
              <w:rPr>
                <w:rFonts w:eastAsia="仿宋"/>
                <w:b/>
                <w:spacing w:val="20"/>
                <w:sz w:val="21"/>
                <w:szCs w:val="21"/>
              </w:rPr>
            </w:pPr>
          </w:p>
        </w:tc>
        <w:tc>
          <w:tcPr>
            <w:tcW w:w="564" w:type="dxa"/>
            <w:vMerge w:val="continue"/>
            <w:vAlign w:val="center"/>
          </w:tcPr>
          <w:p>
            <w:pPr>
              <w:widowControl/>
              <w:jc w:val="center"/>
              <w:rPr>
                <w:rFonts w:eastAsia="仿宋"/>
                <w:b/>
                <w:spacing w:val="20"/>
                <w:sz w:val="21"/>
                <w:szCs w:val="21"/>
              </w:rPr>
            </w:pPr>
          </w:p>
        </w:tc>
        <w:tc>
          <w:tcPr>
            <w:tcW w:w="764" w:type="dxa"/>
            <w:vMerge w:val="continue"/>
            <w:vAlign w:val="center"/>
          </w:tcPr>
          <w:p>
            <w:pPr>
              <w:widowControl/>
              <w:jc w:val="center"/>
              <w:rPr>
                <w:rFonts w:eastAsia="仿宋"/>
                <w:b/>
                <w:spacing w:val="20"/>
                <w:sz w:val="21"/>
                <w:szCs w:val="21"/>
              </w:rPr>
            </w:pPr>
          </w:p>
        </w:tc>
        <w:tc>
          <w:tcPr>
            <w:tcW w:w="791" w:type="dxa"/>
            <w:vAlign w:val="center"/>
          </w:tcPr>
          <w:p>
            <w:pPr>
              <w:widowControl/>
              <w:jc w:val="center"/>
              <w:rPr>
                <w:rFonts w:eastAsia="黑体"/>
                <w:bCs/>
                <w:spacing w:val="20"/>
                <w:sz w:val="21"/>
                <w:szCs w:val="21"/>
              </w:rPr>
            </w:pPr>
            <w:r>
              <w:rPr>
                <w:rFonts w:hint="eastAsia" w:eastAsia="黑体"/>
                <w:bCs/>
                <w:sz w:val="18"/>
              </w:rPr>
              <w:t>理论</w:t>
            </w:r>
          </w:p>
        </w:tc>
        <w:tc>
          <w:tcPr>
            <w:tcW w:w="736" w:type="dxa"/>
            <w:vAlign w:val="center"/>
          </w:tcPr>
          <w:p>
            <w:pPr>
              <w:widowControl/>
              <w:jc w:val="center"/>
              <w:rPr>
                <w:rFonts w:eastAsia="黑体"/>
                <w:bCs/>
                <w:spacing w:val="20"/>
                <w:sz w:val="21"/>
                <w:szCs w:val="21"/>
              </w:rPr>
            </w:pPr>
            <w:r>
              <w:rPr>
                <w:rFonts w:hint="eastAsia" w:eastAsia="黑体"/>
                <w:bCs/>
                <w:sz w:val="18"/>
              </w:rPr>
              <w:t>实践</w:t>
            </w:r>
          </w:p>
        </w:tc>
        <w:tc>
          <w:tcPr>
            <w:tcW w:w="723" w:type="dxa"/>
            <w:vAlign w:val="center"/>
          </w:tcPr>
          <w:p>
            <w:pPr>
              <w:widowControl/>
              <w:jc w:val="center"/>
              <w:rPr>
                <w:rFonts w:eastAsia="黑体"/>
                <w:bCs/>
                <w:spacing w:val="20"/>
                <w:sz w:val="21"/>
                <w:szCs w:val="21"/>
              </w:rPr>
            </w:pPr>
            <w:r>
              <w:rPr>
                <w:rFonts w:hint="eastAsia" w:eastAsia="黑体"/>
                <w:bCs/>
                <w:sz w:val="18"/>
                <w:szCs w:val="18"/>
              </w:rPr>
              <w:t>线上学时</w:t>
            </w:r>
          </w:p>
        </w:tc>
        <w:tc>
          <w:tcPr>
            <w:tcW w:w="730" w:type="dxa"/>
            <w:vAlign w:val="center"/>
          </w:tcPr>
          <w:p>
            <w:pPr>
              <w:widowControl/>
              <w:jc w:val="center"/>
              <w:rPr>
                <w:rFonts w:eastAsia="仿宋"/>
                <w:b/>
                <w:spacing w:val="20"/>
                <w:sz w:val="21"/>
                <w:szCs w:val="21"/>
              </w:rPr>
            </w:pPr>
            <w:r>
              <w:rPr>
                <w:rFonts w:hint="eastAsia" w:eastAsia="黑体"/>
                <w:bCs/>
                <w:sz w:val="18"/>
                <w:szCs w:val="18"/>
              </w:rPr>
              <w:t>线下学时</w:t>
            </w:r>
          </w:p>
        </w:tc>
        <w:tc>
          <w:tcPr>
            <w:tcW w:w="780" w:type="dxa"/>
            <w:vMerge w:val="continue"/>
            <w:vAlign w:val="center"/>
          </w:tcPr>
          <w:p>
            <w:pPr>
              <w:widowControl/>
              <w:jc w:val="center"/>
              <w:rPr>
                <w:rFonts w:eastAsia="仿宋"/>
                <w:b/>
                <w:spacing w:val="20"/>
                <w:sz w:val="21"/>
                <w:szCs w:val="21"/>
              </w:rPr>
            </w:pPr>
          </w:p>
        </w:tc>
        <w:tc>
          <w:tcPr>
            <w:tcW w:w="1214" w:type="dxa"/>
            <w:vMerge w:val="continue"/>
            <w:vAlign w:val="center"/>
          </w:tcPr>
          <w:p>
            <w:pPr>
              <w:widowControl/>
              <w:jc w:val="center"/>
              <w:rPr>
                <w:rFonts w:eastAsia="仿宋"/>
                <w:b/>
                <w:spacing w:val="20"/>
                <w:sz w:val="21"/>
                <w:szCs w:val="21"/>
              </w:rPr>
            </w:pPr>
          </w:p>
        </w:tc>
        <w:tc>
          <w:tcPr>
            <w:tcW w:w="716" w:type="dxa"/>
            <w:vMerge w:val="continue"/>
            <w:vAlign w:val="center"/>
          </w:tcPr>
          <w:p>
            <w:pPr>
              <w:widowControl/>
              <w:jc w:val="center"/>
              <w:rPr>
                <w:rFonts w:eastAsia="仿宋"/>
                <w:b/>
                <w:spacing w:val="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vAlign w:val="center"/>
          </w:tcPr>
          <w:p>
            <w:pPr>
              <w:widowControl/>
              <w:jc w:val="left"/>
              <w:rPr>
                <w:sz w:val="21"/>
                <w:szCs w:val="21"/>
              </w:rPr>
            </w:pPr>
            <w:r>
              <w:rPr>
                <w:rFonts w:hint="eastAsia"/>
                <w:sz w:val="21"/>
                <w:szCs w:val="21"/>
              </w:rPr>
              <w:t>金融职业道德（Ethical and Professional Standards）</w:t>
            </w:r>
          </w:p>
        </w:tc>
        <w:tc>
          <w:tcPr>
            <w:tcW w:w="1312" w:type="dxa"/>
            <w:vAlign w:val="center"/>
          </w:tcPr>
          <w:p>
            <w:pPr>
              <w:widowControl/>
              <w:jc w:val="left"/>
              <w:rPr>
                <w:rFonts w:hint="eastAsia"/>
                <w:sz w:val="21"/>
                <w:szCs w:val="21"/>
              </w:rPr>
            </w:pPr>
            <w:r>
              <w:rPr>
                <w:rFonts w:hint="default"/>
                <w:sz w:val="21"/>
                <w:szCs w:val="21"/>
                <w:lang w:val="en-US" w:eastAsia="zh-CN"/>
              </w:rPr>
              <w:t>V1124012B</w:t>
            </w:r>
          </w:p>
        </w:tc>
        <w:tc>
          <w:tcPr>
            <w:tcW w:w="564" w:type="dxa"/>
            <w:vAlign w:val="center"/>
          </w:tcPr>
          <w:p>
            <w:pPr>
              <w:widowControl/>
              <w:jc w:val="center"/>
              <w:rPr>
                <w:spacing w:val="20"/>
                <w:sz w:val="18"/>
                <w:szCs w:val="18"/>
              </w:rPr>
            </w:pPr>
            <w:r>
              <w:rPr>
                <w:rFonts w:hint="eastAsia"/>
                <w:spacing w:val="20"/>
                <w:sz w:val="18"/>
                <w:szCs w:val="18"/>
              </w:rPr>
              <w:t>2</w:t>
            </w:r>
          </w:p>
        </w:tc>
        <w:tc>
          <w:tcPr>
            <w:tcW w:w="764" w:type="dxa"/>
            <w:vAlign w:val="center"/>
          </w:tcPr>
          <w:p>
            <w:pPr>
              <w:widowControl/>
              <w:jc w:val="center"/>
              <w:rPr>
                <w:spacing w:val="20"/>
                <w:sz w:val="18"/>
                <w:szCs w:val="18"/>
              </w:rPr>
            </w:pPr>
            <w:r>
              <w:rPr>
                <w:rFonts w:hint="eastAsia"/>
                <w:spacing w:val="20"/>
                <w:sz w:val="18"/>
                <w:szCs w:val="18"/>
              </w:rPr>
              <w:t>32</w:t>
            </w:r>
          </w:p>
        </w:tc>
        <w:tc>
          <w:tcPr>
            <w:tcW w:w="791" w:type="dxa"/>
            <w:vAlign w:val="center"/>
          </w:tcPr>
          <w:p>
            <w:pPr>
              <w:widowControl/>
              <w:jc w:val="center"/>
              <w:rPr>
                <w:spacing w:val="20"/>
                <w:sz w:val="18"/>
                <w:szCs w:val="18"/>
              </w:rPr>
            </w:pPr>
            <w:r>
              <w:rPr>
                <w:rFonts w:hint="eastAsia"/>
                <w:spacing w:val="20"/>
                <w:sz w:val="18"/>
                <w:szCs w:val="18"/>
              </w:rPr>
              <w:t>32</w:t>
            </w:r>
          </w:p>
        </w:tc>
        <w:tc>
          <w:tcPr>
            <w:tcW w:w="736" w:type="dxa"/>
            <w:vAlign w:val="center"/>
          </w:tcPr>
          <w:p>
            <w:pPr>
              <w:widowControl/>
              <w:jc w:val="center"/>
              <w:rPr>
                <w:spacing w:val="20"/>
                <w:sz w:val="18"/>
                <w:szCs w:val="18"/>
              </w:rPr>
            </w:pPr>
          </w:p>
        </w:tc>
        <w:tc>
          <w:tcPr>
            <w:tcW w:w="723" w:type="dxa"/>
            <w:vAlign w:val="center"/>
          </w:tcPr>
          <w:p>
            <w:pPr>
              <w:widowControl/>
              <w:jc w:val="center"/>
              <w:rPr>
                <w:spacing w:val="20"/>
                <w:sz w:val="18"/>
                <w:szCs w:val="18"/>
              </w:rPr>
            </w:pPr>
          </w:p>
        </w:tc>
        <w:tc>
          <w:tcPr>
            <w:tcW w:w="730" w:type="dxa"/>
            <w:vAlign w:val="center"/>
          </w:tcPr>
          <w:p>
            <w:pPr>
              <w:widowControl/>
              <w:jc w:val="center"/>
              <w:rPr>
                <w:spacing w:val="20"/>
                <w:sz w:val="18"/>
                <w:szCs w:val="18"/>
              </w:rPr>
            </w:pPr>
            <w:r>
              <w:rPr>
                <w:rFonts w:hint="eastAsia"/>
                <w:spacing w:val="20"/>
                <w:sz w:val="18"/>
                <w:szCs w:val="18"/>
              </w:rPr>
              <w:t>32</w:t>
            </w:r>
          </w:p>
        </w:tc>
        <w:tc>
          <w:tcPr>
            <w:tcW w:w="780" w:type="dxa"/>
            <w:vAlign w:val="center"/>
          </w:tcPr>
          <w:p>
            <w:pPr>
              <w:widowControl/>
              <w:jc w:val="center"/>
              <w:rPr>
                <w:spacing w:val="20"/>
                <w:sz w:val="18"/>
                <w:szCs w:val="18"/>
              </w:rPr>
            </w:pPr>
            <w:r>
              <w:rPr>
                <w:rFonts w:hint="eastAsia"/>
                <w:spacing w:val="20"/>
                <w:sz w:val="18"/>
                <w:szCs w:val="18"/>
              </w:rPr>
              <w:t>考查</w:t>
            </w:r>
          </w:p>
        </w:tc>
        <w:tc>
          <w:tcPr>
            <w:tcW w:w="1214" w:type="dxa"/>
            <w:vAlign w:val="center"/>
          </w:tcPr>
          <w:p>
            <w:pPr>
              <w:widowControl/>
              <w:jc w:val="center"/>
              <w:rPr>
                <w:spacing w:val="20"/>
                <w:sz w:val="18"/>
                <w:szCs w:val="18"/>
              </w:rPr>
            </w:pPr>
            <w:r>
              <w:rPr>
                <w:rFonts w:hint="eastAsia"/>
                <w:spacing w:val="20"/>
                <w:sz w:val="18"/>
                <w:szCs w:val="18"/>
              </w:rPr>
              <w:t>金融学院</w:t>
            </w:r>
          </w:p>
        </w:tc>
        <w:tc>
          <w:tcPr>
            <w:tcW w:w="716" w:type="dxa"/>
            <w:vAlign w:val="center"/>
          </w:tcPr>
          <w:p>
            <w:pPr>
              <w:widowControl/>
              <w:jc w:val="center"/>
              <w:rPr>
                <w:spacing w:val="20"/>
                <w:sz w:val="18"/>
                <w:szCs w:val="18"/>
              </w:rPr>
            </w:pPr>
            <w:r>
              <w:rPr>
                <w:rFonts w:hint="eastAsia"/>
                <w:spacing w:val="20"/>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vAlign w:val="center"/>
          </w:tcPr>
          <w:p>
            <w:pPr>
              <w:widowControl/>
              <w:jc w:val="left"/>
              <w:rPr>
                <w:sz w:val="21"/>
                <w:szCs w:val="21"/>
              </w:rPr>
            </w:pPr>
            <w:r>
              <w:rPr>
                <w:rFonts w:hint="eastAsia"/>
                <w:sz w:val="21"/>
                <w:szCs w:val="21"/>
              </w:rPr>
              <w:t xml:space="preserve">财务报表分析（Financial </w:t>
            </w:r>
            <w:r>
              <w:rPr>
                <w:sz w:val="21"/>
                <w:szCs w:val="21"/>
              </w:rPr>
              <w:t>S</w:t>
            </w:r>
            <w:r>
              <w:rPr>
                <w:rFonts w:hint="eastAsia"/>
                <w:sz w:val="21"/>
                <w:szCs w:val="21"/>
              </w:rPr>
              <w:t xml:space="preserve">tatement </w:t>
            </w:r>
            <w:r>
              <w:rPr>
                <w:sz w:val="21"/>
                <w:szCs w:val="21"/>
              </w:rPr>
              <w:t>A</w:t>
            </w:r>
            <w:r>
              <w:rPr>
                <w:rFonts w:hint="eastAsia"/>
                <w:sz w:val="21"/>
                <w:szCs w:val="21"/>
              </w:rPr>
              <w:t>nalysis）</w:t>
            </w:r>
          </w:p>
        </w:tc>
        <w:tc>
          <w:tcPr>
            <w:tcW w:w="1312" w:type="dxa"/>
            <w:vAlign w:val="center"/>
          </w:tcPr>
          <w:p>
            <w:pPr>
              <w:widowControl/>
              <w:jc w:val="left"/>
              <w:rPr>
                <w:rFonts w:hint="eastAsia"/>
                <w:sz w:val="21"/>
                <w:szCs w:val="21"/>
              </w:rPr>
            </w:pPr>
            <w:r>
              <w:rPr>
                <w:rFonts w:hint="default"/>
                <w:sz w:val="21"/>
                <w:szCs w:val="21"/>
                <w:lang w:val="en-US" w:eastAsia="zh-CN"/>
              </w:rPr>
              <w:t>V1124022A</w:t>
            </w:r>
          </w:p>
        </w:tc>
        <w:tc>
          <w:tcPr>
            <w:tcW w:w="564" w:type="dxa"/>
            <w:vAlign w:val="center"/>
          </w:tcPr>
          <w:p>
            <w:pPr>
              <w:widowControl/>
              <w:jc w:val="center"/>
              <w:rPr>
                <w:spacing w:val="20"/>
                <w:sz w:val="18"/>
                <w:szCs w:val="18"/>
              </w:rPr>
            </w:pPr>
            <w:r>
              <w:rPr>
                <w:rFonts w:hint="eastAsia"/>
                <w:spacing w:val="20"/>
                <w:sz w:val="18"/>
                <w:szCs w:val="18"/>
              </w:rPr>
              <w:t>2</w:t>
            </w:r>
          </w:p>
        </w:tc>
        <w:tc>
          <w:tcPr>
            <w:tcW w:w="764" w:type="dxa"/>
            <w:vAlign w:val="center"/>
          </w:tcPr>
          <w:p>
            <w:pPr>
              <w:widowControl/>
              <w:jc w:val="center"/>
              <w:rPr>
                <w:spacing w:val="20"/>
                <w:sz w:val="18"/>
                <w:szCs w:val="18"/>
              </w:rPr>
            </w:pPr>
            <w:r>
              <w:rPr>
                <w:rFonts w:hint="eastAsia"/>
                <w:spacing w:val="20"/>
                <w:sz w:val="18"/>
                <w:szCs w:val="18"/>
              </w:rPr>
              <w:t>32</w:t>
            </w:r>
          </w:p>
        </w:tc>
        <w:tc>
          <w:tcPr>
            <w:tcW w:w="791" w:type="dxa"/>
            <w:vAlign w:val="center"/>
          </w:tcPr>
          <w:p>
            <w:pPr>
              <w:widowControl/>
              <w:jc w:val="center"/>
              <w:rPr>
                <w:spacing w:val="20"/>
                <w:sz w:val="18"/>
                <w:szCs w:val="18"/>
              </w:rPr>
            </w:pPr>
            <w:r>
              <w:rPr>
                <w:rFonts w:hint="eastAsia"/>
                <w:spacing w:val="20"/>
                <w:sz w:val="18"/>
                <w:szCs w:val="18"/>
              </w:rPr>
              <w:t>32</w:t>
            </w:r>
          </w:p>
        </w:tc>
        <w:tc>
          <w:tcPr>
            <w:tcW w:w="736" w:type="dxa"/>
            <w:vAlign w:val="center"/>
          </w:tcPr>
          <w:p>
            <w:pPr>
              <w:widowControl/>
              <w:jc w:val="center"/>
              <w:rPr>
                <w:spacing w:val="20"/>
                <w:sz w:val="18"/>
                <w:szCs w:val="18"/>
              </w:rPr>
            </w:pPr>
          </w:p>
        </w:tc>
        <w:tc>
          <w:tcPr>
            <w:tcW w:w="723" w:type="dxa"/>
            <w:vAlign w:val="center"/>
          </w:tcPr>
          <w:p>
            <w:pPr>
              <w:widowControl/>
              <w:jc w:val="center"/>
              <w:rPr>
                <w:spacing w:val="20"/>
                <w:sz w:val="18"/>
                <w:szCs w:val="18"/>
              </w:rPr>
            </w:pPr>
          </w:p>
        </w:tc>
        <w:tc>
          <w:tcPr>
            <w:tcW w:w="730" w:type="dxa"/>
            <w:vAlign w:val="center"/>
          </w:tcPr>
          <w:p>
            <w:pPr>
              <w:widowControl/>
              <w:jc w:val="center"/>
              <w:rPr>
                <w:spacing w:val="20"/>
                <w:sz w:val="18"/>
                <w:szCs w:val="18"/>
              </w:rPr>
            </w:pPr>
            <w:r>
              <w:rPr>
                <w:rFonts w:hint="eastAsia"/>
                <w:spacing w:val="20"/>
                <w:sz w:val="18"/>
                <w:szCs w:val="18"/>
              </w:rPr>
              <w:t>32</w:t>
            </w:r>
          </w:p>
        </w:tc>
        <w:tc>
          <w:tcPr>
            <w:tcW w:w="780" w:type="dxa"/>
            <w:vAlign w:val="center"/>
          </w:tcPr>
          <w:p>
            <w:pPr>
              <w:widowControl/>
              <w:jc w:val="center"/>
              <w:rPr>
                <w:spacing w:val="20"/>
                <w:sz w:val="18"/>
                <w:szCs w:val="18"/>
              </w:rPr>
            </w:pPr>
            <w:r>
              <w:rPr>
                <w:rFonts w:hint="eastAsia"/>
                <w:spacing w:val="20"/>
                <w:sz w:val="18"/>
                <w:szCs w:val="18"/>
              </w:rPr>
              <w:t>考试</w:t>
            </w:r>
          </w:p>
        </w:tc>
        <w:tc>
          <w:tcPr>
            <w:tcW w:w="1214" w:type="dxa"/>
            <w:vAlign w:val="center"/>
          </w:tcPr>
          <w:p>
            <w:pPr>
              <w:widowControl/>
              <w:jc w:val="center"/>
              <w:rPr>
                <w:spacing w:val="20"/>
                <w:sz w:val="18"/>
                <w:szCs w:val="18"/>
              </w:rPr>
            </w:pPr>
            <w:r>
              <w:rPr>
                <w:rFonts w:hint="eastAsia"/>
                <w:spacing w:val="20"/>
                <w:sz w:val="18"/>
                <w:szCs w:val="18"/>
              </w:rPr>
              <w:t>金融学院</w:t>
            </w:r>
          </w:p>
        </w:tc>
        <w:tc>
          <w:tcPr>
            <w:tcW w:w="716" w:type="dxa"/>
            <w:vAlign w:val="center"/>
          </w:tcPr>
          <w:p>
            <w:pPr>
              <w:widowControl/>
              <w:jc w:val="center"/>
              <w:rPr>
                <w:spacing w:val="20"/>
                <w:sz w:val="18"/>
                <w:szCs w:val="18"/>
              </w:rPr>
            </w:pPr>
            <w:r>
              <w:rPr>
                <w:rFonts w:hint="eastAsia"/>
                <w:spacing w:val="20"/>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vAlign w:val="center"/>
          </w:tcPr>
          <w:p>
            <w:pPr>
              <w:widowControl/>
              <w:jc w:val="left"/>
              <w:rPr>
                <w:sz w:val="21"/>
                <w:szCs w:val="21"/>
              </w:rPr>
            </w:pPr>
            <w:r>
              <w:rPr>
                <w:rFonts w:hint="eastAsia"/>
                <w:sz w:val="21"/>
                <w:szCs w:val="21"/>
              </w:rPr>
              <w:t xml:space="preserve">定量分析（Quantitative </w:t>
            </w:r>
            <w:r>
              <w:rPr>
                <w:sz w:val="21"/>
                <w:szCs w:val="21"/>
              </w:rPr>
              <w:t>Analysis</w:t>
            </w:r>
            <w:r>
              <w:rPr>
                <w:rFonts w:hint="eastAsia"/>
                <w:sz w:val="21"/>
                <w:szCs w:val="21"/>
              </w:rPr>
              <w:t>）</w:t>
            </w:r>
          </w:p>
        </w:tc>
        <w:tc>
          <w:tcPr>
            <w:tcW w:w="1312" w:type="dxa"/>
            <w:vAlign w:val="center"/>
          </w:tcPr>
          <w:p>
            <w:pPr>
              <w:widowControl/>
              <w:jc w:val="left"/>
              <w:rPr>
                <w:rFonts w:hint="eastAsia"/>
                <w:sz w:val="21"/>
                <w:szCs w:val="21"/>
              </w:rPr>
            </w:pPr>
            <w:r>
              <w:rPr>
                <w:rFonts w:hint="default"/>
                <w:sz w:val="21"/>
                <w:szCs w:val="21"/>
                <w:lang w:val="en-US" w:eastAsia="zh-CN"/>
              </w:rPr>
              <w:t>V1124032A</w:t>
            </w:r>
          </w:p>
        </w:tc>
        <w:tc>
          <w:tcPr>
            <w:tcW w:w="564" w:type="dxa"/>
            <w:vAlign w:val="center"/>
          </w:tcPr>
          <w:p>
            <w:pPr>
              <w:widowControl/>
              <w:jc w:val="center"/>
              <w:rPr>
                <w:spacing w:val="20"/>
                <w:sz w:val="18"/>
                <w:szCs w:val="18"/>
              </w:rPr>
            </w:pPr>
            <w:r>
              <w:rPr>
                <w:rFonts w:hint="eastAsia"/>
                <w:spacing w:val="20"/>
                <w:sz w:val="18"/>
                <w:szCs w:val="18"/>
              </w:rPr>
              <w:t>2</w:t>
            </w:r>
          </w:p>
        </w:tc>
        <w:tc>
          <w:tcPr>
            <w:tcW w:w="764" w:type="dxa"/>
            <w:vAlign w:val="center"/>
          </w:tcPr>
          <w:p>
            <w:pPr>
              <w:widowControl/>
              <w:jc w:val="center"/>
              <w:rPr>
                <w:spacing w:val="20"/>
                <w:sz w:val="18"/>
                <w:szCs w:val="18"/>
              </w:rPr>
            </w:pPr>
            <w:r>
              <w:rPr>
                <w:rFonts w:hint="eastAsia"/>
                <w:spacing w:val="20"/>
                <w:sz w:val="18"/>
                <w:szCs w:val="18"/>
              </w:rPr>
              <w:t>32</w:t>
            </w:r>
          </w:p>
        </w:tc>
        <w:tc>
          <w:tcPr>
            <w:tcW w:w="791" w:type="dxa"/>
            <w:vAlign w:val="center"/>
          </w:tcPr>
          <w:p>
            <w:pPr>
              <w:widowControl/>
              <w:jc w:val="center"/>
              <w:rPr>
                <w:spacing w:val="20"/>
                <w:sz w:val="18"/>
                <w:szCs w:val="18"/>
              </w:rPr>
            </w:pPr>
            <w:r>
              <w:rPr>
                <w:rFonts w:hint="eastAsia"/>
                <w:spacing w:val="20"/>
                <w:sz w:val="18"/>
                <w:szCs w:val="18"/>
              </w:rPr>
              <w:t>32</w:t>
            </w:r>
          </w:p>
        </w:tc>
        <w:tc>
          <w:tcPr>
            <w:tcW w:w="736" w:type="dxa"/>
            <w:vAlign w:val="center"/>
          </w:tcPr>
          <w:p>
            <w:pPr>
              <w:widowControl/>
              <w:jc w:val="center"/>
              <w:rPr>
                <w:spacing w:val="20"/>
                <w:sz w:val="18"/>
                <w:szCs w:val="18"/>
              </w:rPr>
            </w:pPr>
          </w:p>
        </w:tc>
        <w:tc>
          <w:tcPr>
            <w:tcW w:w="723" w:type="dxa"/>
            <w:vAlign w:val="center"/>
          </w:tcPr>
          <w:p>
            <w:pPr>
              <w:widowControl/>
              <w:jc w:val="center"/>
              <w:rPr>
                <w:spacing w:val="20"/>
                <w:sz w:val="18"/>
                <w:szCs w:val="18"/>
              </w:rPr>
            </w:pPr>
          </w:p>
        </w:tc>
        <w:tc>
          <w:tcPr>
            <w:tcW w:w="730" w:type="dxa"/>
            <w:vAlign w:val="center"/>
          </w:tcPr>
          <w:p>
            <w:pPr>
              <w:widowControl/>
              <w:jc w:val="center"/>
              <w:rPr>
                <w:spacing w:val="20"/>
                <w:sz w:val="18"/>
                <w:szCs w:val="18"/>
              </w:rPr>
            </w:pPr>
            <w:r>
              <w:rPr>
                <w:rFonts w:hint="eastAsia"/>
                <w:spacing w:val="20"/>
                <w:sz w:val="18"/>
                <w:szCs w:val="18"/>
              </w:rPr>
              <w:t>32</w:t>
            </w:r>
          </w:p>
        </w:tc>
        <w:tc>
          <w:tcPr>
            <w:tcW w:w="780" w:type="dxa"/>
            <w:vAlign w:val="center"/>
          </w:tcPr>
          <w:p>
            <w:pPr>
              <w:widowControl/>
              <w:jc w:val="center"/>
              <w:rPr>
                <w:spacing w:val="20"/>
                <w:sz w:val="18"/>
                <w:szCs w:val="18"/>
              </w:rPr>
            </w:pPr>
            <w:r>
              <w:rPr>
                <w:rFonts w:hint="eastAsia"/>
                <w:spacing w:val="20"/>
                <w:sz w:val="18"/>
                <w:szCs w:val="18"/>
              </w:rPr>
              <w:t>考试</w:t>
            </w:r>
          </w:p>
        </w:tc>
        <w:tc>
          <w:tcPr>
            <w:tcW w:w="1214" w:type="dxa"/>
            <w:vAlign w:val="center"/>
          </w:tcPr>
          <w:p>
            <w:pPr>
              <w:widowControl/>
              <w:jc w:val="center"/>
              <w:rPr>
                <w:spacing w:val="20"/>
                <w:sz w:val="18"/>
                <w:szCs w:val="18"/>
              </w:rPr>
            </w:pPr>
            <w:r>
              <w:rPr>
                <w:rFonts w:hint="eastAsia"/>
                <w:spacing w:val="20"/>
                <w:sz w:val="18"/>
                <w:szCs w:val="18"/>
              </w:rPr>
              <w:t>金融学院</w:t>
            </w:r>
          </w:p>
        </w:tc>
        <w:tc>
          <w:tcPr>
            <w:tcW w:w="716" w:type="dxa"/>
            <w:vAlign w:val="center"/>
          </w:tcPr>
          <w:p>
            <w:pPr>
              <w:widowControl/>
              <w:jc w:val="center"/>
              <w:rPr>
                <w:spacing w:val="20"/>
                <w:sz w:val="18"/>
                <w:szCs w:val="18"/>
              </w:rPr>
            </w:pPr>
            <w:r>
              <w:rPr>
                <w:rFonts w:hint="eastAsia"/>
                <w:spacing w:val="20"/>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vAlign w:val="center"/>
          </w:tcPr>
          <w:p>
            <w:pPr>
              <w:widowControl/>
              <w:jc w:val="left"/>
              <w:rPr>
                <w:sz w:val="21"/>
                <w:szCs w:val="21"/>
              </w:rPr>
            </w:pPr>
            <w:r>
              <w:rPr>
                <w:rFonts w:hint="eastAsia"/>
                <w:sz w:val="21"/>
                <w:szCs w:val="21"/>
              </w:rPr>
              <w:t>固定收益投资（Fixed Income Investments）</w:t>
            </w:r>
          </w:p>
        </w:tc>
        <w:tc>
          <w:tcPr>
            <w:tcW w:w="1312" w:type="dxa"/>
            <w:vAlign w:val="center"/>
          </w:tcPr>
          <w:p>
            <w:pPr>
              <w:widowControl/>
              <w:jc w:val="left"/>
              <w:rPr>
                <w:rFonts w:hint="eastAsia"/>
                <w:sz w:val="21"/>
                <w:szCs w:val="21"/>
              </w:rPr>
            </w:pPr>
            <w:r>
              <w:rPr>
                <w:rFonts w:hint="default"/>
                <w:sz w:val="21"/>
                <w:szCs w:val="21"/>
                <w:lang w:val="en-US" w:eastAsia="zh-CN"/>
              </w:rPr>
              <w:t>V1124042A</w:t>
            </w:r>
          </w:p>
        </w:tc>
        <w:tc>
          <w:tcPr>
            <w:tcW w:w="564" w:type="dxa"/>
            <w:vAlign w:val="center"/>
          </w:tcPr>
          <w:p>
            <w:pPr>
              <w:widowControl/>
              <w:jc w:val="center"/>
              <w:rPr>
                <w:spacing w:val="20"/>
                <w:sz w:val="18"/>
                <w:szCs w:val="18"/>
              </w:rPr>
            </w:pPr>
            <w:r>
              <w:rPr>
                <w:rFonts w:hint="eastAsia"/>
                <w:spacing w:val="20"/>
                <w:sz w:val="18"/>
                <w:szCs w:val="18"/>
              </w:rPr>
              <w:t>2</w:t>
            </w:r>
          </w:p>
        </w:tc>
        <w:tc>
          <w:tcPr>
            <w:tcW w:w="764" w:type="dxa"/>
            <w:vAlign w:val="center"/>
          </w:tcPr>
          <w:p>
            <w:pPr>
              <w:widowControl/>
              <w:jc w:val="center"/>
              <w:rPr>
                <w:spacing w:val="20"/>
                <w:sz w:val="18"/>
                <w:szCs w:val="18"/>
              </w:rPr>
            </w:pPr>
            <w:r>
              <w:rPr>
                <w:rFonts w:hint="eastAsia"/>
                <w:spacing w:val="20"/>
                <w:sz w:val="18"/>
                <w:szCs w:val="18"/>
              </w:rPr>
              <w:t>32</w:t>
            </w:r>
          </w:p>
        </w:tc>
        <w:tc>
          <w:tcPr>
            <w:tcW w:w="791" w:type="dxa"/>
            <w:vAlign w:val="center"/>
          </w:tcPr>
          <w:p>
            <w:pPr>
              <w:widowControl/>
              <w:jc w:val="center"/>
              <w:rPr>
                <w:spacing w:val="20"/>
                <w:sz w:val="18"/>
                <w:szCs w:val="18"/>
              </w:rPr>
            </w:pPr>
            <w:r>
              <w:rPr>
                <w:rFonts w:hint="eastAsia"/>
                <w:spacing w:val="20"/>
                <w:sz w:val="18"/>
                <w:szCs w:val="18"/>
              </w:rPr>
              <w:t>32</w:t>
            </w:r>
          </w:p>
        </w:tc>
        <w:tc>
          <w:tcPr>
            <w:tcW w:w="736" w:type="dxa"/>
            <w:vAlign w:val="center"/>
          </w:tcPr>
          <w:p>
            <w:pPr>
              <w:widowControl/>
              <w:jc w:val="center"/>
              <w:rPr>
                <w:spacing w:val="20"/>
                <w:sz w:val="18"/>
                <w:szCs w:val="18"/>
              </w:rPr>
            </w:pPr>
          </w:p>
        </w:tc>
        <w:tc>
          <w:tcPr>
            <w:tcW w:w="723" w:type="dxa"/>
            <w:vAlign w:val="center"/>
          </w:tcPr>
          <w:p>
            <w:pPr>
              <w:widowControl/>
              <w:jc w:val="center"/>
              <w:rPr>
                <w:spacing w:val="20"/>
                <w:sz w:val="18"/>
                <w:szCs w:val="18"/>
              </w:rPr>
            </w:pPr>
          </w:p>
        </w:tc>
        <w:tc>
          <w:tcPr>
            <w:tcW w:w="730" w:type="dxa"/>
            <w:vAlign w:val="center"/>
          </w:tcPr>
          <w:p>
            <w:pPr>
              <w:widowControl/>
              <w:jc w:val="center"/>
              <w:rPr>
                <w:spacing w:val="20"/>
                <w:sz w:val="18"/>
                <w:szCs w:val="18"/>
              </w:rPr>
            </w:pPr>
            <w:r>
              <w:rPr>
                <w:rFonts w:hint="eastAsia"/>
                <w:spacing w:val="20"/>
                <w:sz w:val="18"/>
                <w:szCs w:val="18"/>
              </w:rPr>
              <w:t>32</w:t>
            </w:r>
          </w:p>
        </w:tc>
        <w:tc>
          <w:tcPr>
            <w:tcW w:w="780" w:type="dxa"/>
            <w:vAlign w:val="center"/>
          </w:tcPr>
          <w:p>
            <w:pPr>
              <w:widowControl/>
              <w:jc w:val="center"/>
              <w:rPr>
                <w:spacing w:val="20"/>
                <w:sz w:val="18"/>
                <w:szCs w:val="18"/>
              </w:rPr>
            </w:pPr>
            <w:r>
              <w:rPr>
                <w:rFonts w:hint="eastAsia"/>
                <w:spacing w:val="20"/>
                <w:sz w:val="18"/>
                <w:szCs w:val="18"/>
              </w:rPr>
              <w:t>考试</w:t>
            </w:r>
          </w:p>
        </w:tc>
        <w:tc>
          <w:tcPr>
            <w:tcW w:w="1214" w:type="dxa"/>
            <w:vAlign w:val="center"/>
          </w:tcPr>
          <w:p>
            <w:pPr>
              <w:widowControl/>
              <w:jc w:val="center"/>
              <w:rPr>
                <w:spacing w:val="20"/>
                <w:sz w:val="18"/>
                <w:szCs w:val="18"/>
              </w:rPr>
            </w:pPr>
            <w:r>
              <w:rPr>
                <w:rFonts w:hint="eastAsia"/>
                <w:spacing w:val="20"/>
                <w:sz w:val="18"/>
                <w:szCs w:val="18"/>
              </w:rPr>
              <w:t>金融学院</w:t>
            </w:r>
          </w:p>
        </w:tc>
        <w:tc>
          <w:tcPr>
            <w:tcW w:w="716" w:type="dxa"/>
            <w:vAlign w:val="center"/>
          </w:tcPr>
          <w:p>
            <w:pPr>
              <w:widowControl/>
              <w:jc w:val="center"/>
              <w:rPr>
                <w:spacing w:val="20"/>
                <w:sz w:val="18"/>
                <w:szCs w:val="18"/>
              </w:rPr>
            </w:pPr>
            <w:r>
              <w:rPr>
                <w:rFonts w:hint="eastAsia"/>
                <w:spacing w:val="20"/>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vAlign w:val="center"/>
          </w:tcPr>
          <w:p>
            <w:pPr>
              <w:widowControl/>
              <w:jc w:val="left"/>
              <w:rPr>
                <w:sz w:val="21"/>
                <w:szCs w:val="21"/>
              </w:rPr>
            </w:pPr>
            <w:r>
              <w:rPr>
                <w:rFonts w:hint="eastAsia"/>
                <w:sz w:val="21"/>
                <w:szCs w:val="21"/>
              </w:rPr>
              <w:t>权益投资（Equity Investments）</w:t>
            </w:r>
          </w:p>
        </w:tc>
        <w:tc>
          <w:tcPr>
            <w:tcW w:w="1312" w:type="dxa"/>
            <w:vAlign w:val="center"/>
          </w:tcPr>
          <w:p>
            <w:pPr>
              <w:widowControl/>
              <w:jc w:val="left"/>
              <w:rPr>
                <w:rFonts w:hint="eastAsia"/>
                <w:sz w:val="21"/>
                <w:szCs w:val="21"/>
              </w:rPr>
            </w:pPr>
            <w:r>
              <w:rPr>
                <w:rFonts w:hint="default"/>
                <w:sz w:val="21"/>
                <w:szCs w:val="21"/>
                <w:lang w:val="en-US" w:eastAsia="zh-CN"/>
              </w:rPr>
              <w:t>V112405</w:t>
            </w:r>
            <w:bookmarkStart w:id="3" w:name="_GoBack"/>
            <w:bookmarkEnd w:id="3"/>
            <w:r>
              <w:rPr>
                <w:rFonts w:hint="default"/>
                <w:sz w:val="21"/>
                <w:szCs w:val="21"/>
                <w:lang w:val="en-US" w:eastAsia="zh-CN"/>
              </w:rPr>
              <w:t>2A</w:t>
            </w:r>
          </w:p>
        </w:tc>
        <w:tc>
          <w:tcPr>
            <w:tcW w:w="564" w:type="dxa"/>
            <w:vAlign w:val="center"/>
          </w:tcPr>
          <w:p>
            <w:pPr>
              <w:widowControl/>
              <w:jc w:val="center"/>
              <w:rPr>
                <w:spacing w:val="20"/>
                <w:sz w:val="18"/>
                <w:szCs w:val="18"/>
              </w:rPr>
            </w:pPr>
            <w:r>
              <w:rPr>
                <w:rFonts w:hint="eastAsia"/>
                <w:spacing w:val="20"/>
                <w:sz w:val="18"/>
                <w:szCs w:val="18"/>
              </w:rPr>
              <w:t>2</w:t>
            </w:r>
          </w:p>
        </w:tc>
        <w:tc>
          <w:tcPr>
            <w:tcW w:w="764" w:type="dxa"/>
            <w:vAlign w:val="center"/>
          </w:tcPr>
          <w:p>
            <w:pPr>
              <w:widowControl/>
              <w:jc w:val="center"/>
              <w:rPr>
                <w:spacing w:val="20"/>
                <w:sz w:val="18"/>
                <w:szCs w:val="18"/>
              </w:rPr>
            </w:pPr>
            <w:r>
              <w:rPr>
                <w:rFonts w:hint="eastAsia"/>
                <w:spacing w:val="20"/>
                <w:sz w:val="18"/>
                <w:szCs w:val="18"/>
              </w:rPr>
              <w:t>32</w:t>
            </w:r>
          </w:p>
        </w:tc>
        <w:tc>
          <w:tcPr>
            <w:tcW w:w="791" w:type="dxa"/>
            <w:vAlign w:val="center"/>
          </w:tcPr>
          <w:p>
            <w:pPr>
              <w:widowControl/>
              <w:jc w:val="center"/>
              <w:rPr>
                <w:spacing w:val="20"/>
                <w:sz w:val="18"/>
                <w:szCs w:val="18"/>
              </w:rPr>
            </w:pPr>
            <w:r>
              <w:rPr>
                <w:rFonts w:hint="eastAsia"/>
                <w:spacing w:val="20"/>
                <w:sz w:val="18"/>
                <w:szCs w:val="18"/>
              </w:rPr>
              <w:t>32</w:t>
            </w:r>
          </w:p>
        </w:tc>
        <w:tc>
          <w:tcPr>
            <w:tcW w:w="736" w:type="dxa"/>
            <w:vAlign w:val="center"/>
          </w:tcPr>
          <w:p>
            <w:pPr>
              <w:widowControl/>
              <w:jc w:val="center"/>
              <w:rPr>
                <w:spacing w:val="20"/>
                <w:sz w:val="18"/>
                <w:szCs w:val="18"/>
              </w:rPr>
            </w:pPr>
          </w:p>
        </w:tc>
        <w:tc>
          <w:tcPr>
            <w:tcW w:w="723" w:type="dxa"/>
            <w:vAlign w:val="center"/>
          </w:tcPr>
          <w:p>
            <w:pPr>
              <w:widowControl/>
              <w:jc w:val="center"/>
              <w:rPr>
                <w:spacing w:val="20"/>
                <w:sz w:val="18"/>
                <w:szCs w:val="18"/>
              </w:rPr>
            </w:pPr>
          </w:p>
        </w:tc>
        <w:tc>
          <w:tcPr>
            <w:tcW w:w="730" w:type="dxa"/>
            <w:vAlign w:val="center"/>
          </w:tcPr>
          <w:p>
            <w:pPr>
              <w:widowControl/>
              <w:jc w:val="center"/>
              <w:rPr>
                <w:spacing w:val="20"/>
                <w:sz w:val="18"/>
                <w:szCs w:val="18"/>
              </w:rPr>
            </w:pPr>
            <w:r>
              <w:rPr>
                <w:rFonts w:hint="eastAsia"/>
                <w:spacing w:val="20"/>
                <w:sz w:val="18"/>
                <w:szCs w:val="18"/>
              </w:rPr>
              <w:t>32</w:t>
            </w:r>
          </w:p>
        </w:tc>
        <w:tc>
          <w:tcPr>
            <w:tcW w:w="780" w:type="dxa"/>
            <w:vAlign w:val="center"/>
          </w:tcPr>
          <w:p>
            <w:pPr>
              <w:widowControl/>
              <w:jc w:val="center"/>
              <w:rPr>
                <w:spacing w:val="20"/>
                <w:sz w:val="18"/>
                <w:szCs w:val="18"/>
              </w:rPr>
            </w:pPr>
            <w:r>
              <w:rPr>
                <w:rFonts w:hint="eastAsia"/>
                <w:spacing w:val="20"/>
                <w:sz w:val="18"/>
                <w:szCs w:val="18"/>
              </w:rPr>
              <w:t>考试</w:t>
            </w:r>
          </w:p>
        </w:tc>
        <w:tc>
          <w:tcPr>
            <w:tcW w:w="1214" w:type="dxa"/>
            <w:vAlign w:val="center"/>
          </w:tcPr>
          <w:p>
            <w:pPr>
              <w:widowControl/>
              <w:jc w:val="center"/>
              <w:rPr>
                <w:spacing w:val="20"/>
                <w:sz w:val="18"/>
                <w:szCs w:val="18"/>
              </w:rPr>
            </w:pPr>
            <w:r>
              <w:rPr>
                <w:rFonts w:hint="eastAsia"/>
                <w:spacing w:val="20"/>
                <w:sz w:val="18"/>
                <w:szCs w:val="18"/>
              </w:rPr>
              <w:t>金融学院</w:t>
            </w:r>
          </w:p>
        </w:tc>
        <w:tc>
          <w:tcPr>
            <w:tcW w:w="716" w:type="dxa"/>
            <w:vAlign w:val="center"/>
          </w:tcPr>
          <w:p>
            <w:pPr>
              <w:widowControl/>
              <w:jc w:val="center"/>
              <w:rPr>
                <w:spacing w:val="20"/>
                <w:sz w:val="18"/>
                <w:szCs w:val="18"/>
              </w:rPr>
            </w:pPr>
            <w:r>
              <w:rPr>
                <w:rFonts w:hint="eastAsia"/>
                <w:spacing w:val="20"/>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tcPr>
          <w:p>
            <w:pPr>
              <w:widowControl/>
              <w:jc w:val="left"/>
              <w:rPr>
                <w:sz w:val="21"/>
                <w:szCs w:val="21"/>
              </w:rPr>
            </w:pPr>
            <w:r>
              <w:rPr>
                <w:rFonts w:hint="eastAsia"/>
                <w:sz w:val="21"/>
                <w:szCs w:val="21"/>
              </w:rPr>
              <w:t>投资风险管理（</w:t>
            </w:r>
            <w:r>
              <w:rPr>
                <w:sz w:val="21"/>
                <w:szCs w:val="21"/>
              </w:rPr>
              <w:t>Investment Risk Management</w:t>
            </w:r>
            <w:r>
              <w:rPr>
                <w:rFonts w:hint="eastAsia"/>
                <w:sz w:val="21"/>
                <w:szCs w:val="21"/>
              </w:rPr>
              <w:t>）</w:t>
            </w:r>
          </w:p>
        </w:tc>
        <w:tc>
          <w:tcPr>
            <w:tcW w:w="1312" w:type="dxa"/>
            <w:vAlign w:val="center"/>
          </w:tcPr>
          <w:p>
            <w:pPr>
              <w:widowControl/>
              <w:jc w:val="left"/>
              <w:rPr>
                <w:rFonts w:hint="eastAsia"/>
                <w:sz w:val="21"/>
                <w:szCs w:val="21"/>
              </w:rPr>
            </w:pPr>
            <w:r>
              <w:rPr>
                <w:rFonts w:hint="default"/>
                <w:sz w:val="21"/>
                <w:szCs w:val="21"/>
                <w:lang w:val="en-US" w:eastAsia="zh-CN"/>
              </w:rPr>
              <w:t>V1124062A</w:t>
            </w:r>
          </w:p>
        </w:tc>
        <w:tc>
          <w:tcPr>
            <w:tcW w:w="564" w:type="dxa"/>
            <w:vAlign w:val="center"/>
          </w:tcPr>
          <w:p>
            <w:pPr>
              <w:widowControl/>
              <w:jc w:val="center"/>
              <w:rPr>
                <w:spacing w:val="20"/>
                <w:sz w:val="18"/>
                <w:szCs w:val="18"/>
              </w:rPr>
            </w:pPr>
            <w:r>
              <w:rPr>
                <w:rFonts w:hint="eastAsia"/>
                <w:spacing w:val="20"/>
                <w:sz w:val="18"/>
                <w:szCs w:val="18"/>
              </w:rPr>
              <w:t>2</w:t>
            </w:r>
          </w:p>
        </w:tc>
        <w:tc>
          <w:tcPr>
            <w:tcW w:w="764" w:type="dxa"/>
            <w:vAlign w:val="center"/>
          </w:tcPr>
          <w:p>
            <w:pPr>
              <w:widowControl/>
              <w:jc w:val="center"/>
              <w:rPr>
                <w:spacing w:val="20"/>
                <w:sz w:val="18"/>
                <w:szCs w:val="18"/>
              </w:rPr>
            </w:pPr>
            <w:r>
              <w:rPr>
                <w:rFonts w:hint="eastAsia"/>
                <w:spacing w:val="20"/>
                <w:sz w:val="18"/>
                <w:szCs w:val="18"/>
              </w:rPr>
              <w:t>32</w:t>
            </w:r>
          </w:p>
        </w:tc>
        <w:tc>
          <w:tcPr>
            <w:tcW w:w="791" w:type="dxa"/>
            <w:vAlign w:val="center"/>
          </w:tcPr>
          <w:p>
            <w:pPr>
              <w:widowControl/>
              <w:jc w:val="center"/>
              <w:rPr>
                <w:spacing w:val="20"/>
                <w:sz w:val="18"/>
                <w:szCs w:val="18"/>
              </w:rPr>
            </w:pPr>
            <w:r>
              <w:rPr>
                <w:rFonts w:hint="eastAsia"/>
                <w:spacing w:val="20"/>
                <w:sz w:val="18"/>
                <w:szCs w:val="18"/>
              </w:rPr>
              <w:t>32</w:t>
            </w:r>
          </w:p>
        </w:tc>
        <w:tc>
          <w:tcPr>
            <w:tcW w:w="736" w:type="dxa"/>
            <w:vAlign w:val="center"/>
          </w:tcPr>
          <w:p>
            <w:pPr>
              <w:widowControl/>
              <w:jc w:val="center"/>
              <w:rPr>
                <w:spacing w:val="20"/>
                <w:sz w:val="18"/>
                <w:szCs w:val="18"/>
              </w:rPr>
            </w:pPr>
          </w:p>
        </w:tc>
        <w:tc>
          <w:tcPr>
            <w:tcW w:w="723" w:type="dxa"/>
            <w:vAlign w:val="center"/>
          </w:tcPr>
          <w:p>
            <w:pPr>
              <w:widowControl/>
              <w:jc w:val="center"/>
              <w:rPr>
                <w:spacing w:val="20"/>
                <w:sz w:val="18"/>
                <w:szCs w:val="18"/>
              </w:rPr>
            </w:pPr>
          </w:p>
        </w:tc>
        <w:tc>
          <w:tcPr>
            <w:tcW w:w="730" w:type="dxa"/>
            <w:vAlign w:val="center"/>
          </w:tcPr>
          <w:p>
            <w:pPr>
              <w:widowControl/>
              <w:jc w:val="center"/>
              <w:rPr>
                <w:spacing w:val="20"/>
                <w:sz w:val="18"/>
                <w:szCs w:val="18"/>
              </w:rPr>
            </w:pPr>
            <w:r>
              <w:rPr>
                <w:rFonts w:hint="eastAsia"/>
                <w:spacing w:val="20"/>
                <w:sz w:val="18"/>
                <w:szCs w:val="18"/>
              </w:rPr>
              <w:t>32</w:t>
            </w:r>
          </w:p>
        </w:tc>
        <w:tc>
          <w:tcPr>
            <w:tcW w:w="780" w:type="dxa"/>
            <w:vAlign w:val="center"/>
          </w:tcPr>
          <w:p>
            <w:pPr>
              <w:widowControl/>
              <w:jc w:val="center"/>
              <w:rPr>
                <w:spacing w:val="20"/>
                <w:sz w:val="18"/>
                <w:szCs w:val="18"/>
              </w:rPr>
            </w:pPr>
            <w:r>
              <w:rPr>
                <w:rFonts w:hint="eastAsia"/>
                <w:spacing w:val="20"/>
                <w:sz w:val="18"/>
                <w:szCs w:val="18"/>
              </w:rPr>
              <w:t>考试</w:t>
            </w:r>
          </w:p>
        </w:tc>
        <w:tc>
          <w:tcPr>
            <w:tcW w:w="1214" w:type="dxa"/>
            <w:vAlign w:val="center"/>
          </w:tcPr>
          <w:p>
            <w:pPr>
              <w:widowControl/>
              <w:jc w:val="center"/>
              <w:rPr>
                <w:spacing w:val="20"/>
                <w:sz w:val="18"/>
                <w:szCs w:val="18"/>
              </w:rPr>
            </w:pPr>
            <w:r>
              <w:rPr>
                <w:rFonts w:hint="eastAsia"/>
                <w:spacing w:val="20"/>
                <w:sz w:val="18"/>
                <w:szCs w:val="18"/>
              </w:rPr>
              <w:t>金融学院</w:t>
            </w:r>
          </w:p>
        </w:tc>
        <w:tc>
          <w:tcPr>
            <w:tcW w:w="716" w:type="dxa"/>
            <w:vAlign w:val="center"/>
          </w:tcPr>
          <w:p>
            <w:pPr>
              <w:widowControl/>
              <w:jc w:val="center"/>
              <w:rPr>
                <w:spacing w:val="20"/>
                <w:sz w:val="18"/>
                <w:szCs w:val="18"/>
              </w:rPr>
            </w:pPr>
            <w:r>
              <w:rPr>
                <w:rFonts w:hint="eastAsia"/>
                <w:spacing w:val="20"/>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tcPr>
          <w:p>
            <w:pPr>
              <w:widowControl/>
              <w:jc w:val="left"/>
              <w:rPr>
                <w:sz w:val="21"/>
                <w:szCs w:val="21"/>
              </w:rPr>
            </w:pPr>
            <w:r>
              <w:rPr>
                <w:rFonts w:hint="eastAsia"/>
                <w:sz w:val="21"/>
                <w:szCs w:val="21"/>
              </w:rPr>
              <w:t>衍生工具与另类投资（</w:t>
            </w:r>
            <w:r>
              <w:rPr>
                <w:sz w:val="21"/>
                <w:szCs w:val="21"/>
              </w:rPr>
              <w:t>Derivative and Alternative Investments</w:t>
            </w:r>
            <w:r>
              <w:rPr>
                <w:rFonts w:hint="eastAsia"/>
                <w:sz w:val="21"/>
                <w:szCs w:val="21"/>
              </w:rPr>
              <w:t>）</w:t>
            </w:r>
          </w:p>
        </w:tc>
        <w:tc>
          <w:tcPr>
            <w:tcW w:w="1312" w:type="dxa"/>
            <w:vAlign w:val="center"/>
          </w:tcPr>
          <w:p>
            <w:pPr>
              <w:widowControl/>
              <w:jc w:val="left"/>
              <w:rPr>
                <w:rFonts w:hint="eastAsia"/>
                <w:sz w:val="21"/>
                <w:szCs w:val="21"/>
              </w:rPr>
            </w:pPr>
            <w:r>
              <w:rPr>
                <w:rFonts w:hint="default"/>
                <w:sz w:val="21"/>
                <w:szCs w:val="21"/>
                <w:lang w:val="en-US" w:eastAsia="zh-CN"/>
              </w:rPr>
              <w:t>V1124072A</w:t>
            </w:r>
          </w:p>
        </w:tc>
        <w:tc>
          <w:tcPr>
            <w:tcW w:w="564" w:type="dxa"/>
            <w:vAlign w:val="center"/>
          </w:tcPr>
          <w:p>
            <w:pPr>
              <w:widowControl/>
              <w:jc w:val="center"/>
              <w:rPr>
                <w:spacing w:val="20"/>
                <w:sz w:val="18"/>
                <w:szCs w:val="18"/>
              </w:rPr>
            </w:pPr>
            <w:r>
              <w:rPr>
                <w:rFonts w:hint="eastAsia"/>
                <w:spacing w:val="20"/>
                <w:sz w:val="18"/>
                <w:szCs w:val="18"/>
              </w:rPr>
              <w:t>2</w:t>
            </w:r>
          </w:p>
        </w:tc>
        <w:tc>
          <w:tcPr>
            <w:tcW w:w="764" w:type="dxa"/>
            <w:vAlign w:val="center"/>
          </w:tcPr>
          <w:p>
            <w:pPr>
              <w:widowControl/>
              <w:jc w:val="center"/>
              <w:rPr>
                <w:spacing w:val="20"/>
                <w:sz w:val="18"/>
                <w:szCs w:val="18"/>
              </w:rPr>
            </w:pPr>
            <w:r>
              <w:rPr>
                <w:rFonts w:hint="eastAsia"/>
                <w:spacing w:val="20"/>
                <w:sz w:val="18"/>
                <w:szCs w:val="18"/>
              </w:rPr>
              <w:t>32</w:t>
            </w:r>
          </w:p>
        </w:tc>
        <w:tc>
          <w:tcPr>
            <w:tcW w:w="791" w:type="dxa"/>
            <w:vAlign w:val="center"/>
          </w:tcPr>
          <w:p>
            <w:pPr>
              <w:widowControl/>
              <w:jc w:val="center"/>
              <w:rPr>
                <w:spacing w:val="20"/>
                <w:sz w:val="18"/>
                <w:szCs w:val="18"/>
              </w:rPr>
            </w:pPr>
            <w:r>
              <w:rPr>
                <w:rFonts w:hint="eastAsia"/>
                <w:spacing w:val="20"/>
                <w:sz w:val="18"/>
                <w:szCs w:val="18"/>
              </w:rPr>
              <w:t>32</w:t>
            </w:r>
          </w:p>
        </w:tc>
        <w:tc>
          <w:tcPr>
            <w:tcW w:w="736" w:type="dxa"/>
            <w:vAlign w:val="center"/>
          </w:tcPr>
          <w:p>
            <w:pPr>
              <w:widowControl/>
              <w:jc w:val="center"/>
              <w:rPr>
                <w:spacing w:val="20"/>
                <w:sz w:val="18"/>
                <w:szCs w:val="18"/>
              </w:rPr>
            </w:pPr>
          </w:p>
        </w:tc>
        <w:tc>
          <w:tcPr>
            <w:tcW w:w="723" w:type="dxa"/>
            <w:vAlign w:val="center"/>
          </w:tcPr>
          <w:p>
            <w:pPr>
              <w:widowControl/>
              <w:jc w:val="center"/>
              <w:rPr>
                <w:spacing w:val="20"/>
                <w:sz w:val="18"/>
                <w:szCs w:val="18"/>
              </w:rPr>
            </w:pPr>
          </w:p>
        </w:tc>
        <w:tc>
          <w:tcPr>
            <w:tcW w:w="730" w:type="dxa"/>
            <w:vAlign w:val="center"/>
          </w:tcPr>
          <w:p>
            <w:pPr>
              <w:widowControl/>
              <w:jc w:val="center"/>
              <w:rPr>
                <w:spacing w:val="20"/>
                <w:sz w:val="18"/>
                <w:szCs w:val="18"/>
              </w:rPr>
            </w:pPr>
            <w:r>
              <w:rPr>
                <w:rFonts w:hint="eastAsia"/>
                <w:spacing w:val="20"/>
                <w:sz w:val="18"/>
                <w:szCs w:val="18"/>
              </w:rPr>
              <w:t>32</w:t>
            </w:r>
          </w:p>
        </w:tc>
        <w:tc>
          <w:tcPr>
            <w:tcW w:w="780" w:type="dxa"/>
            <w:vAlign w:val="center"/>
          </w:tcPr>
          <w:p>
            <w:pPr>
              <w:widowControl/>
              <w:jc w:val="center"/>
              <w:rPr>
                <w:spacing w:val="20"/>
                <w:sz w:val="18"/>
                <w:szCs w:val="18"/>
              </w:rPr>
            </w:pPr>
            <w:r>
              <w:rPr>
                <w:rFonts w:hint="eastAsia"/>
                <w:spacing w:val="20"/>
                <w:sz w:val="18"/>
                <w:szCs w:val="18"/>
              </w:rPr>
              <w:t>考试</w:t>
            </w:r>
          </w:p>
        </w:tc>
        <w:tc>
          <w:tcPr>
            <w:tcW w:w="1214" w:type="dxa"/>
            <w:vAlign w:val="center"/>
          </w:tcPr>
          <w:p>
            <w:pPr>
              <w:widowControl/>
              <w:jc w:val="center"/>
              <w:rPr>
                <w:spacing w:val="20"/>
                <w:sz w:val="18"/>
                <w:szCs w:val="18"/>
              </w:rPr>
            </w:pPr>
            <w:r>
              <w:rPr>
                <w:rFonts w:hint="eastAsia"/>
                <w:spacing w:val="20"/>
                <w:sz w:val="18"/>
                <w:szCs w:val="18"/>
              </w:rPr>
              <w:t>金融学院</w:t>
            </w:r>
          </w:p>
        </w:tc>
        <w:tc>
          <w:tcPr>
            <w:tcW w:w="716" w:type="dxa"/>
            <w:vAlign w:val="center"/>
          </w:tcPr>
          <w:p>
            <w:pPr>
              <w:widowControl/>
              <w:jc w:val="center"/>
              <w:rPr>
                <w:spacing w:val="20"/>
                <w:sz w:val="18"/>
                <w:szCs w:val="18"/>
              </w:rPr>
            </w:pPr>
            <w:r>
              <w:rPr>
                <w:rFonts w:hint="eastAsia"/>
                <w:spacing w:val="20"/>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tcPr>
          <w:p>
            <w:pPr>
              <w:widowControl/>
              <w:jc w:val="left"/>
              <w:rPr>
                <w:sz w:val="21"/>
                <w:szCs w:val="21"/>
              </w:rPr>
            </w:pPr>
            <w:r>
              <w:rPr>
                <w:rFonts w:hint="eastAsia"/>
                <w:sz w:val="21"/>
                <w:szCs w:val="21"/>
              </w:rPr>
              <w:t>组合管理与资产配置（</w:t>
            </w:r>
            <w:r>
              <w:rPr>
                <w:sz w:val="21"/>
                <w:szCs w:val="21"/>
              </w:rPr>
              <w:t>Portfolio Management and Asset Allocation</w:t>
            </w:r>
            <w:r>
              <w:rPr>
                <w:rFonts w:hint="eastAsia"/>
                <w:sz w:val="21"/>
                <w:szCs w:val="21"/>
              </w:rPr>
              <w:t>）</w:t>
            </w:r>
          </w:p>
        </w:tc>
        <w:tc>
          <w:tcPr>
            <w:tcW w:w="1312" w:type="dxa"/>
            <w:vAlign w:val="center"/>
          </w:tcPr>
          <w:p>
            <w:pPr>
              <w:widowControl/>
              <w:jc w:val="left"/>
              <w:rPr>
                <w:rFonts w:hint="eastAsia"/>
                <w:sz w:val="21"/>
                <w:szCs w:val="21"/>
              </w:rPr>
            </w:pPr>
            <w:r>
              <w:rPr>
                <w:rFonts w:hint="default"/>
                <w:sz w:val="21"/>
                <w:szCs w:val="21"/>
                <w:lang w:val="en-US" w:eastAsia="zh-CN"/>
              </w:rPr>
              <w:t>V1124082B</w:t>
            </w:r>
          </w:p>
        </w:tc>
        <w:tc>
          <w:tcPr>
            <w:tcW w:w="564" w:type="dxa"/>
            <w:vAlign w:val="center"/>
          </w:tcPr>
          <w:p>
            <w:pPr>
              <w:widowControl/>
              <w:jc w:val="center"/>
              <w:rPr>
                <w:spacing w:val="20"/>
                <w:sz w:val="18"/>
                <w:szCs w:val="18"/>
              </w:rPr>
            </w:pPr>
            <w:r>
              <w:rPr>
                <w:rFonts w:hint="eastAsia"/>
                <w:spacing w:val="20"/>
                <w:sz w:val="18"/>
                <w:szCs w:val="18"/>
              </w:rPr>
              <w:t>2</w:t>
            </w:r>
          </w:p>
        </w:tc>
        <w:tc>
          <w:tcPr>
            <w:tcW w:w="764" w:type="dxa"/>
            <w:vAlign w:val="center"/>
          </w:tcPr>
          <w:p>
            <w:pPr>
              <w:widowControl/>
              <w:jc w:val="center"/>
              <w:rPr>
                <w:spacing w:val="20"/>
                <w:sz w:val="18"/>
                <w:szCs w:val="18"/>
              </w:rPr>
            </w:pPr>
            <w:r>
              <w:rPr>
                <w:rFonts w:hint="eastAsia"/>
                <w:spacing w:val="20"/>
                <w:sz w:val="18"/>
                <w:szCs w:val="18"/>
              </w:rPr>
              <w:t>32</w:t>
            </w:r>
          </w:p>
        </w:tc>
        <w:tc>
          <w:tcPr>
            <w:tcW w:w="791" w:type="dxa"/>
            <w:vAlign w:val="center"/>
          </w:tcPr>
          <w:p>
            <w:pPr>
              <w:widowControl/>
              <w:jc w:val="center"/>
              <w:rPr>
                <w:spacing w:val="20"/>
                <w:sz w:val="18"/>
                <w:szCs w:val="18"/>
              </w:rPr>
            </w:pPr>
            <w:r>
              <w:rPr>
                <w:rFonts w:hint="eastAsia"/>
                <w:spacing w:val="20"/>
                <w:sz w:val="18"/>
                <w:szCs w:val="18"/>
              </w:rPr>
              <w:t>32</w:t>
            </w:r>
          </w:p>
        </w:tc>
        <w:tc>
          <w:tcPr>
            <w:tcW w:w="736" w:type="dxa"/>
            <w:vAlign w:val="center"/>
          </w:tcPr>
          <w:p>
            <w:pPr>
              <w:widowControl/>
              <w:jc w:val="center"/>
              <w:rPr>
                <w:spacing w:val="20"/>
                <w:sz w:val="18"/>
                <w:szCs w:val="18"/>
              </w:rPr>
            </w:pPr>
          </w:p>
        </w:tc>
        <w:tc>
          <w:tcPr>
            <w:tcW w:w="723" w:type="dxa"/>
            <w:vAlign w:val="center"/>
          </w:tcPr>
          <w:p>
            <w:pPr>
              <w:widowControl/>
              <w:jc w:val="center"/>
              <w:rPr>
                <w:spacing w:val="20"/>
                <w:sz w:val="18"/>
                <w:szCs w:val="18"/>
              </w:rPr>
            </w:pPr>
          </w:p>
        </w:tc>
        <w:tc>
          <w:tcPr>
            <w:tcW w:w="730" w:type="dxa"/>
            <w:vAlign w:val="center"/>
          </w:tcPr>
          <w:p>
            <w:pPr>
              <w:widowControl/>
              <w:jc w:val="center"/>
              <w:rPr>
                <w:spacing w:val="20"/>
                <w:sz w:val="18"/>
                <w:szCs w:val="18"/>
              </w:rPr>
            </w:pPr>
            <w:r>
              <w:rPr>
                <w:rFonts w:hint="eastAsia"/>
                <w:spacing w:val="20"/>
                <w:sz w:val="18"/>
                <w:szCs w:val="18"/>
              </w:rPr>
              <w:t>32</w:t>
            </w:r>
          </w:p>
        </w:tc>
        <w:tc>
          <w:tcPr>
            <w:tcW w:w="780" w:type="dxa"/>
            <w:vAlign w:val="center"/>
          </w:tcPr>
          <w:p>
            <w:pPr>
              <w:widowControl/>
              <w:jc w:val="center"/>
              <w:rPr>
                <w:spacing w:val="20"/>
                <w:sz w:val="18"/>
                <w:szCs w:val="18"/>
              </w:rPr>
            </w:pPr>
            <w:r>
              <w:rPr>
                <w:rFonts w:hint="eastAsia"/>
                <w:spacing w:val="20"/>
                <w:sz w:val="18"/>
                <w:szCs w:val="18"/>
              </w:rPr>
              <w:t>考查</w:t>
            </w:r>
          </w:p>
        </w:tc>
        <w:tc>
          <w:tcPr>
            <w:tcW w:w="1214" w:type="dxa"/>
            <w:vAlign w:val="center"/>
          </w:tcPr>
          <w:p>
            <w:pPr>
              <w:widowControl/>
              <w:jc w:val="center"/>
              <w:rPr>
                <w:spacing w:val="20"/>
                <w:sz w:val="18"/>
                <w:szCs w:val="18"/>
              </w:rPr>
            </w:pPr>
            <w:r>
              <w:rPr>
                <w:rFonts w:hint="eastAsia"/>
                <w:spacing w:val="20"/>
                <w:sz w:val="18"/>
                <w:szCs w:val="18"/>
              </w:rPr>
              <w:t>金融学院</w:t>
            </w:r>
          </w:p>
        </w:tc>
        <w:tc>
          <w:tcPr>
            <w:tcW w:w="716" w:type="dxa"/>
            <w:vAlign w:val="center"/>
          </w:tcPr>
          <w:p>
            <w:pPr>
              <w:widowControl/>
              <w:jc w:val="center"/>
              <w:rPr>
                <w:spacing w:val="20"/>
                <w:sz w:val="18"/>
                <w:szCs w:val="18"/>
              </w:rPr>
            </w:pPr>
            <w:r>
              <w:rPr>
                <w:rFonts w:hint="eastAsia"/>
                <w:spacing w:val="20"/>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tcBorders>
              <w:bottom w:val="single" w:color="auto" w:sz="4" w:space="0"/>
            </w:tcBorders>
            <w:vAlign w:val="center"/>
          </w:tcPr>
          <w:p>
            <w:pPr>
              <w:widowControl/>
              <w:jc w:val="center"/>
              <w:rPr>
                <w:rFonts w:eastAsia="黑体"/>
                <w:bCs/>
                <w:sz w:val="18"/>
                <w:szCs w:val="18"/>
              </w:rPr>
            </w:pPr>
            <w:r>
              <w:rPr>
                <w:rFonts w:hint="eastAsia" w:eastAsia="黑体"/>
                <w:bCs/>
                <w:sz w:val="18"/>
                <w:szCs w:val="18"/>
              </w:rPr>
              <w:t>合计</w:t>
            </w:r>
          </w:p>
        </w:tc>
        <w:tc>
          <w:tcPr>
            <w:tcW w:w="1312" w:type="dxa"/>
            <w:tcBorders>
              <w:bottom w:val="single" w:color="auto" w:sz="4" w:space="0"/>
            </w:tcBorders>
            <w:vAlign w:val="center"/>
          </w:tcPr>
          <w:p>
            <w:pPr>
              <w:widowControl/>
              <w:jc w:val="center"/>
              <w:rPr>
                <w:rFonts w:eastAsia="仿宋"/>
                <w:b/>
                <w:spacing w:val="20"/>
                <w:sz w:val="18"/>
                <w:szCs w:val="18"/>
              </w:rPr>
            </w:pPr>
          </w:p>
        </w:tc>
        <w:tc>
          <w:tcPr>
            <w:tcW w:w="564" w:type="dxa"/>
            <w:tcBorders>
              <w:bottom w:val="single" w:color="auto" w:sz="4" w:space="0"/>
            </w:tcBorders>
            <w:vAlign w:val="center"/>
          </w:tcPr>
          <w:p>
            <w:pPr>
              <w:widowControl/>
              <w:jc w:val="center"/>
              <w:rPr>
                <w:spacing w:val="20"/>
                <w:sz w:val="18"/>
                <w:szCs w:val="18"/>
              </w:rPr>
            </w:pPr>
            <w:r>
              <w:rPr>
                <w:rFonts w:hint="eastAsia"/>
                <w:spacing w:val="20"/>
                <w:sz w:val="18"/>
                <w:szCs w:val="18"/>
              </w:rPr>
              <w:t>1</w:t>
            </w:r>
            <w:r>
              <w:rPr>
                <w:spacing w:val="20"/>
                <w:sz w:val="18"/>
                <w:szCs w:val="18"/>
              </w:rPr>
              <w:t>6</w:t>
            </w:r>
          </w:p>
        </w:tc>
        <w:tc>
          <w:tcPr>
            <w:tcW w:w="764" w:type="dxa"/>
            <w:tcBorders>
              <w:bottom w:val="single" w:color="auto" w:sz="4" w:space="0"/>
            </w:tcBorders>
            <w:vAlign w:val="center"/>
          </w:tcPr>
          <w:p>
            <w:pPr>
              <w:widowControl/>
              <w:jc w:val="center"/>
              <w:rPr>
                <w:spacing w:val="20"/>
                <w:sz w:val="18"/>
                <w:szCs w:val="18"/>
              </w:rPr>
            </w:pPr>
            <w:r>
              <w:rPr>
                <w:rFonts w:hint="eastAsia"/>
                <w:spacing w:val="20"/>
                <w:sz w:val="18"/>
                <w:szCs w:val="18"/>
              </w:rPr>
              <w:t>2</w:t>
            </w:r>
            <w:r>
              <w:rPr>
                <w:spacing w:val="20"/>
                <w:sz w:val="18"/>
                <w:szCs w:val="18"/>
              </w:rPr>
              <w:t>56</w:t>
            </w:r>
          </w:p>
        </w:tc>
        <w:tc>
          <w:tcPr>
            <w:tcW w:w="791" w:type="dxa"/>
            <w:tcBorders>
              <w:bottom w:val="single" w:color="auto" w:sz="4" w:space="0"/>
            </w:tcBorders>
            <w:vAlign w:val="center"/>
          </w:tcPr>
          <w:p>
            <w:pPr>
              <w:widowControl/>
              <w:jc w:val="center"/>
              <w:rPr>
                <w:rFonts w:eastAsia="仿宋"/>
                <w:b/>
                <w:spacing w:val="20"/>
                <w:sz w:val="18"/>
                <w:szCs w:val="18"/>
              </w:rPr>
            </w:pPr>
            <w:r>
              <w:rPr>
                <w:rFonts w:hint="eastAsia"/>
                <w:spacing w:val="20"/>
                <w:sz w:val="18"/>
                <w:szCs w:val="18"/>
              </w:rPr>
              <w:t>2</w:t>
            </w:r>
            <w:r>
              <w:rPr>
                <w:spacing w:val="20"/>
                <w:sz w:val="18"/>
                <w:szCs w:val="18"/>
              </w:rPr>
              <w:t>56</w:t>
            </w:r>
          </w:p>
        </w:tc>
        <w:tc>
          <w:tcPr>
            <w:tcW w:w="736" w:type="dxa"/>
            <w:tcBorders>
              <w:bottom w:val="single" w:color="auto" w:sz="4" w:space="0"/>
            </w:tcBorders>
            <w:vAlign w:val="center"/>
          </w:tcPr>
          <w:p>
            <w:pPr>
              <w:widowControl/>
              <w:jc w:val="center"/>
              <w:rPr>
                <w:rFonts w:eastAsia="仿宋"/>
                <w:b/>
                <w:spacing w:val="20"/>
                <w:sz w:val="18"/>
                <w:szCs w:val="18"/>
              </w:rPr>
            </w:pPr>
          </w:p>
        </w:tc>
        <w:tc>
          <w:tcPr>
            <w:tcW w:w="723" w:type="dxa"/>
            <w:tcBorders>
              <w:bottom w:val="single" w:color="auto" w:sz="4" w:space="0"/>
            </w:tcBorders>
            <w:vAlign w:val="center"/>
          </w:tcPr>
          <w:p>
            <w:pPr>
              <w:widowControl/>
              <w:jc w:val="center"/>
              <w:rPr>
                <w:rFonts w:eastAsia="仿宋"/>
                <w:b/>
                <w:spacing w:val="20"/>
                <w:sz w:val="18"/>
                <w:szCs w:val="18"/>
              </w:rPr>
            </w:pPr>
          </w:p>
        </w:tc>
        <w:tc>
          <w:tcPr>
            <w:tcW w:w="730" w:type="dxa"/>
            <w:tcBorders>
              <w:bottom w:val="single" w:color="auto" w:sz="4" w:space="0"/>
            </w:tcBorders>
            <w:vAlign w:val="center"/>
          </w:tcPr>
          <w:p>
            <w:pPr>
              <w:widowControl/>
              <w:jc w:val="center"/>
              <w:rPr>
                <w:rFonts w:eastAsia="仿宋"/>
                <w:b/>
                <w:spacing w:val="20"/>
                <w:sz w:val="18"/>
                <w:szCs w:val="18"/>
              </w:rPr>
            </w:pPr>
            <w:r>
              <w:rPr>
                <w:rFonts w:hint="eastAsia"/>
                <w:spacing w:val="20"/>
                <w:sz w:val="18"/>
                <w:szCs w:val="18"/>
              </w:rPr>
              <w:t>2</w:t>
            </w:r>
            <w:r>
              <w:rPr>
                <w:spacing w:val="20"/>
                <w:sz w:val="18"/>
                <w:szCs w:val="18"/>
              </w:rPr>
              <w:t>56</w:t>
            </w:r>
          </w:p>
        </w:tc>
        <w:tc>
          <w:tcPr>
            <w:tcW w:w="780" w:type="dxa"/>
            <w:tcBorders>
              <w:bottom w:val="single" w:color="auto" w:sz="4" w:space="0"/>
            </w:tcBorders>
            <w:vAlign w:val="center"/>
          </w:tcPr>
          <w:p>
            <w:pPr>
              <w:widowControl/>
              <w:jc w:val="center"/>
              <w:rPr>
                <w:rFonts w:eastAsia="仿宋"/>
                <w:b/>
                <w:spacing w:val="20"/>
                <w:sz w:val="18"/>
                <w:szCs w:val="18"/>
              </w:rPr>
            </w:pPr>
            <w:r>
              <w:rPr>
                <w:rFonts w:hint="eastAsia" w:eastAsia="仿宋"/>
                <w:b/>
                <w:spacing w:val="20"/>
                <w:sz w:val="18"/>
                <w:szCs w:val="18"/>
              </w:rPr>
              <w:t>-</w:t>
            </w:r>
          </w:p>
        </w:tc>
        <w:tc>
          <w:tcPr>
            <w:tcW w:w="1214" w:type="dxa"/>
            <w:tcBorders>
              <w:bottom w:val="single" w:color="auto" w:sz="4" w:space="0"/>
            </w:tcBorders>
            <w:vAlign w:val="center"/>
          </w:tcPr>
          <w:p>
            <w:pPr>
              <w:widowControl/>
              <w:jc w:val="center"/>
              <w:rPr>
                <w:rFonts w:eastAsia="仿宋"/>
                <w:b/>
                <w:spacing w:val="20"/>
                <w:sz w:val="18"/>
                <w:szCs w:val="18"/>
              </w:rPr>
            </w:pPr>
            <w:r>
              <w:rPr>
                <w:rFonts w:hint="eastAsia" w:eastAsia="仿宋"/>
                <w:b/>
                <w:spacing w:val="20"/>
                <w:sz w:val="18"/>
                <w:szCs w:val="18"/>
              </w:rPr>
              <w:t>-</w:t>
            </w:r>
          </w:p>
        </w:tc>
        <w:tc>
          <w:tcPr>
            <w:tcW w:w="716" w:type="dxa"/>
            <w:tcBorders>
              <w:bottom w:val="single" w:color="auto" w:sz="4" w:space="0"/>
            </w:tcBorders>
            <w:vAlign w:val="center"/>
          </w:tcPr>
          <w:p>
            <w:pPr>
              <w:widowControl/>
              <w:jc w:val="center"/>
              <w:rPr>
                <w:rFonts w:eastAsia="仿宋"/>
                <w:b/>
                <w:spacing w:val="20"/>
                <w:sz w:val="18"/>
                <w:szCs w:val="18"/>
              </w:rPr>
            </w:pPr>
            <w:r>
              <w:rPr>
                <w:rFonts w:hint="eastAsia" w:eastAsia="仿宋"/>
                <w:b/>
                <w:spacing w:val="20"/>
                <w:sz w:val="18"/>
                <w:szCs w:val="18"/>
              </w:rPr>
              <w:t>-</w:t>
            </w:r>
          </w:p>
        </w:tc>
      </w:tr>
    </w:tbl>
    <w:p>
      <w:pPr>
        <w:widowControl/>
        <w:spacing w:line="360" w:lineRule="auto"/>
        <w:rPr>
          <w:bCs/>
          <w:sz w:val="24"/>
          <w:szCs w:val="24"/>
        </w:rPr>
      </w:pPr>
      <w:r>
        <w:rPr>
          <w:rFonts w:hint="eastAsia"/>
          <w:bCs/>
          <w:sz w:val="24"/>
          <w:szCs w:val="24"/>
        </w:rPr>
        <w:t>备注：</w:t>
      </w:r>
    </w:p>
    <w:p>
      <w:pPr>
        <w:widowControl/>
        <w:adjustRightInd w:val="0"/>
        <w:snapToGrid w:val="0"/>
        <w:rPr>
          <w:rFonts w:eastAsia="仿宋_GB2312"/>
          <w:sz w:val="24"/>
          <w:szCs w:val="24"/>
        </w:rPr>
      </w:pPr>
      <w:r>
        <w:rPr>
          <w:rFonts w:hint="eastAsia" w:eastAsia="仿宋_GB2312"/>
          <w:sz w:val="24"/>
          <w:szCs w:val="24"/>
        </w:rPr>
        <w:t>1.</w:t>
      </w:r>
      <w:r>
        <w:rPr>
          <w:rFonts w:eastAsia="仿宋_GB2312"/>
          <w:sz w:val="24"/>
          <w:szCs w:val="24"/>
        </w:rPr>
        <w:t xml:space="preserve"> </w:t>
      </w:r>
      <w:r>
        <w:rPr>
          <w:rFonts w:hint="eastAsia" w:eastAsia="仿宋_GB2312"/>
          <w:sz w:val="24"/>
          <w:szCs w:val="24"/>
        </w:rPr>
        <w:t>总学时=理论学时+实践学时（实践教学含实验和上机教学），总学时=线上学时+线下学时；</w:t>
      </w:r>
    </w:p>
    <w:p>
      <w:pPr>
        <w:widowControl/>
        <w:adjustRightInd w:val="0"/>
        <w:snapToGrid w:val="0"/>
        <w:rPr>
          <w:bCs/>
          <w:sz w:val="24"/>
          <w:szCs w:val="24"/>
        </w:rPr>
      </w:pPr>
      <w:r>
        <w:rPr>
          <w:rFonts w:hint="eastAsia" w:eastAsia="仿宋_GB2312"/>
          <w:sz w:val="24"/>
          <w:szCs w:val="24"/>
        </w:rPr>
        <w:t>2.</w:t>
      </w:r>
      <w:r>
        <w:rPr>
          <w:rFonts w:eastAsia="仿宋_GB2312"/>
          <w:sz w:val="24"/>
          <w:szCs w:val="24"/>
        </w:rPr>
        <w:t xml:space="preserve"> </w:t>
      </w:r>
      <w:r>
        <w:rPr>
          <w:rFonts w:hint="eastAsia" w:eastAsia="仿宋_GB2312"/>
          <w:sz w:val="24"/>
          <w:szCs w:val="24"/>
        </w:rPr>
        <w:t>课程代码由教务处统一编制；“开课学期”根据</w:t>
      </w:r>
      <w:r>
        <w:rPr>
          <w:rFonts w:eastAsia="仿宋_GB2312"/>
          <w:sz w:val="24"/>
          <w:szCs w:val="24"/>
        </w:rPr>
        <w:t>4</w:t>
      </w:r>
      <w:r>
        <w:rPr>
          <w:rFonts w:hint="eastAsia" w:eastAsia="仿宋_GB2312"/>
          <w:sz w:val="24"/>
          <w:szCs w:val="24"/>
        </w:rPr>
        <w:t>年制内实际开课学期填写1-1、1-2、2-1、2-2、3</w:t>
      </w:r>
      <w:r>
        <w:rPr>
          <w:rFonts w:eastAsia="仿宋_GB2312"/>
          <w:sz w:val="24"/>
          <w:szCs w:val="24"/>
        </w:rPr>
        <w:t>-1</w:t>
      </w:r>
      <w:r>
        <w:rPr>
          <w:rFonts w:hint="eastAsia" w:eastAsia="仿宋_GB2312"/>
          <w:sz w:val="24"/>
          <w:szCs w:val="24"/>
        </w:rPr>
        <w:t>、3</w:t>
      </w:r>
      <w:r>
        <w:rPr>
          <w:rFonts w:eastAsia="仿宋_GB2312"/>
          <w:sz w:val="24"/>
          <w:szCs w:val="24"/>
        </w:rPr>
        <w:t>-2</w:t>
      </w:r>
      <w:r>
        <w:rPr>
          <w:rFonts w:hint="eastAsia" w:eastAsia="仿宋_GB2312"/>
          <w:sz w:val="24"/>
          <w:szCs w:val="24"/>
        </w:rPr>
        <w:t>、4</w:t>
      </w:r>
      <w:r>
        <w:rPr>
          <w:rFonts w:eastAsia="仿宋_GB2312"/>
          <w:sz w:val="24"/>
          <w:szCs w:val="24"/>
        </w:rPr>
        <w:t>-1</w:t>
      </w:r>
      <w:r>
        <w:rPr>
          <w:rFonts w:hint="eastAsia" w:eastAsia="仿宋_GB2312"/>
          <w:sz w:val="24"/>
          <w:szCs w:val="24"/>
        </w:rPr>
        <w:t>、4</w:t>
      </w:r>
      <w:r>
        <w:rPr>
          <w:rFonts w:eastAsia="仿宋_GB2312"/>
          <w:sz w:val="24"/>
          <w:szCs w:val="24"/>
        </w:rPr>
        <w:t>-2</w:t>
      </w:r>
      <w:r>
        <w:rPr>
          <w:rFonts w:hint="eastAsia" w:eastAsia="仿宋_GB2312"/>
          <w:sz w:val="24"/>
          <w:szCs w:val="24"/>
        </w:rPr>
        <w:t>填写，“考核方式”填写考试、考查</w:t>
      </w:r>
      <w:r>
        <w:rPr>
          <w:rFonts w:hint="eastAsia" w:cs="宋体"/>
          <w:sz w:val="24"/>
          <w:szCs w:val="24"/>
        </w:rPr>
        <w:t>；</w:t>
      </w:r>
    </w:p>
    <w:p>
      <w:pPr>
        <w:widowControl/>
        <w:adjustRightInd w:val="0"/>
        <w:snapToGrid w:val="0"/>
        <w:rPr>
          <w:bCs/>
          <w:sz w:val="24"/>
          <w:szCs w:val="24"/>
        </w:rPr>
      </w:pPr>
      <w:r>
        <w:rPr>
          <w:rFonts w:hint="eastAsia" w:eastAsia="仿宋_GB2312"/>
          <w:sz w:val="24"/>
          <w:szCs w:val="24"/>
        </w:rPr>
        <w:t>3.</w:t>
      </w:r>
      <w:r>
        <w:rPr>
          <w:rFonts w:eastAsia="仿宋_GB2312"/>
          <w:sz w:val="24"/>
          <w:szCs w:val="24"/>
        </w:rPr>
        <w:t xml:space="preserve"> </w:t>
      </w:r>
      <w:r>
        <w:rPr>
          <w:rFonts w:hint="eastAsia" w:eastAsia="仿宋_GB2312"/>
          <w:sz w:val="24"/>
          <w:szCs w:val="24"/>
        </w:rPr>
        <w:t>开课单位填写任课教师所在部门或单位。</w:t>
      </w:r>
    </w:p>
    <w:p>
      <w:pPr>
        <w:widowControl/>
        <w:spacing w:line="360" w:lineRule="auto"/>
        <w:ind w:firstLine="598" w:firstLineChars="187"/>
        <w:jc w:val="left"/>
        <w:rPr>
          <w:rFonts w:eastAsia="黑体" w:cs="黑体"/>
          <w:bCs/>
          <w:sz w:val="28"/>
          <w:szCs w:val="28"/>
        </w:rPr>
      </w:pPr>
      <w:r>
        <w:rPr>
          <w:sz w:val="32"/>
        </w:rPr>
        <w:br w:type="page"/>
      </w:r>
      <w:r>
        <w:rPr>
          <w:rFonts w:hint="eastAsia" w:eastAsia="黑体" w:cs="黑体"/>
          <w:bCs/>
          <w:sz w:val="28"/>
          <w:szCs w:val="28"/>
        </w:rPr>
        <w:t>六、课程简介</w:t>
      </w:r>
    </w:p>
    <w:p>
      <w:pPr>
        <w:widowControl/>
        <w:spacing w:line="400" w:lineRule="exact"/>
        <w:ind w:firstLine="560" w:firstLineChars="200"/>
        <w:rPr>
          <w:rFonts w:eastAsia="仿宋_GB2312"/>
          <w:sz w:val="28"/>
          <w:szCs w:val="28"/>
        </w:rPr>
      </w:pPr>
      <w:r>
        <w:rPr>
          <w:rFonts w:hint="eastAsia" w:eastAsia="仿宋_GB2312"/>
          <w:sz w:val="28"/>
          <w:szCs w:val="28"/>
        </w:rPr>
        <w:t>对本微专业拟开设的课程进行简要介绍，包括课程主要内容、课程教学设计等，每门课300字以内。</w:t>
      </w:r>
    </w:p>
    <w:tbl>
      <w:tblPr>
        <w:tblStyle w:val="5"/>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1720"/>
        <w:gridCol w:w="6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pPr>
              <w:widowControl/>
              <w:jc w:val="center"/>
              <w:rPr>
                <w:rFonts w:eastAsia="黑体" w:cs="黑体"/>
                <w:b/>
                <w:spacing w:val="20"/>
                <w:sz w:val="28"/>
                <w:szCs w:val="28"/>
              </w:rPr>
            </w:pPr>
            <w:r>
              <w:rPr>
                <w:rFonts w:hint="eastAsia" w:eastAsia="黑体" w:cs="黑体"/>
                <w:b/>
                <w:spacing w:val="20"/>
                <w:sz w:val="28"/>
                <w:szCs w:val="28"/>
              </w:rPr>
              <w:t>序号</w:t>
            </w:r>
          </w:p>
        </w:tc>
        <w:tc>
          <w:tcPr>
            <w:tcW w:w="1720" w:type="dxa"/>
            <w:tcBorders>
              <w:top w:val="single" w:color="auto" w:sz="4" w:space="0"/>
            </w:tcBorders>
            <w:vAlign w:val="center"/>
          </w:tcPr>
          <w:p>
            <w:pPr>
              <w:widowControl/>
              <w:jc w:val="center"/>
              <w:rPr>
                <w:rFonts w:eastAsia="黑体" w:cs="黑体"/>
                <w:b/>
                <w:spacing w:val="20"/>
                <w:sz w:val="28"/>
                <w:szCs w:val="28"/>
              </w:rPr>
            </w:pPr>
            <w:r>
              <w:rPr>
                <w:rFonts w:hint="eastAsia" w:eastAsia="黑体" w:cs="黑体"/>
                <w:b/>
                <w:spacing w:val="20"/>
                <w:sz w:val="28"/>
                <w:szCs w:val="28"/>
              </w:rPr>
              <w:t>课程名称</w:t>
            </w:r>
          </w:p>
        </w:tc>
        <w:tc>
          <w:tcPr>
            <w:tcW w:w="6123" w:type="dxa"/>
            <w:tcBorders>
              <w:top w:val="single" w:color="auto" w:sz="4" w:space="0"/>
              <w:bottom w:val="single" w:color="auto" w:sz="4" w:space="0"/>
            </w:tcBorders>
            <w:vAlign w:val="center"/>
          </w:tcPr>
          <w:p>
            <w:pPr>
              <w:widowControl/>
              <w:jc w:val="center"/>
              <w:rPr>
                <w:rFonts w:eastAsia="黑体" w:cs="黑体"/>
                <w:bCs/>
                <w:sz w:val="28"/>
                <w:szCs w:val="28"/>
              </w:rPr>
            </w:pPr>
            <w:r>
              <w:rPr>
                <w:rFonts w:hint="eastAsia" w:eastAsia="黑体" w:cs="黑体"/>
                <w:b/>
                <w:spacing w:val="20"/>
                <w:sz w:val="28"/>
                <w:szCs w:val="28"/>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exact"/>
          <w:jc w:val="center"/>
        </w:trPr>
        <w:tc>
          <w:tcPr>
            <w:tcW w:w="1110" w:type="dxa"/>
            <w:vAlign w:val="center"/>
          </w:tcPr>
          <w:p>
            <w:pPr>
              <w:widowControl/>
              <w:jc w:val="center"/>
              <w:rPr>
                <w:rFonts w:eastAsia="黑体"/>
                <w:bCs/>
                <w:sz w:val="18"/>
                <w:szCs w:val="18"/>
              </w:rPr>
            </w:pPr>
            <w:r>
              <w:rPr>
                <w:rFonts w:hint="eastAsia" w:eastAsia="黑体"/>
                <w:bCs/>
                <w:sz w:val="18"/>
                <w:szCs w:val="18"/>
              </w:rPr>
              <w:t>1</w:t>
            </w:r>
          </w:p>
        </w:tc>
        <w:tc>
          <w:tcPr>
            <w:tcW w:w="1720" w:type="dxa"/>
            <w:vAlign w:val="center"/>
          </w:tcPr>
          <w:p>
            <w:pPr>
              <w:widowControl/>
              <w:jc w:val="center"/>
              <w:rPr>
                <w:rFonts w:eastAsia="黑体"/>
                <w:bCs/>
                <w:sz w:val="18"/>
                <w:szCs w:val="18"/>
              </w:rPr>
            </w:pPr>
            <w:r>
              <w:rPr>
                <w:rFonts w:hint="eastAsia"/>
                <w:sz w:val="21"/>
                <w:szCs w:val="21"/>
              </w:rPr>
              <w:t>金融职业道德（Ethical and Professional Standards）</w:t>
            </w:r>
          </w:p>
        </w:tc>
        <w:tc>
          <w:tcPr>
            <w:tcW w:w="6123"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这门课程强调道德和职业操守在金融行业中的重要性，教授学生如何遵守职业道德规范，正确处理职业道德冲突，树立良好的职业形象。道德准则是非常重要的一部分，它要求考生在金融职业生涯中遵守一系列道德规范，以保护投资者利益、维护市场稳定、提高金融行业的声誉。本门课程道德准则由七个主要原则组成，涵盖了道德、独立性、客户权益、投资分析与报告、交易、保密性以及推广产品和服务等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6" w:hRule="exact"/>
          <w:jc w:val="center"/>
        </w:trPr>
        <w:tc>
          <w:tcPr>
            <w:tcW w:w="1110" w:type="dxa"/>
            <w:vAlign w:val="center"/>
          </w:tcPr>
          <w:p>
            <w:pPr>
              <w:widowControl/>
              <w:jc w:val="center"/>
              <w:rPr>
                <w:rFonts w:eastAsia="黑体"/>
                <w:bCs/>
                <w:sz w:val="18"/>
                <w:szCs w:val="18"/>
              </w:rPr>
            </w:pPr>
            <w:r>
              <w:rPr>
                <w:rFonts w:hint="eastAsia" w:eastAsia="黑体"/>
                <w:bCs/>
                <w:sz w:val="18"/>
                <w:szCs w:val="18"/>
              </w:rPr>
              <w:t>2</w:t>
            </w:r>
          </w:p>
        </w:tc>
        <w:tc>
          <w:tcPr>
            <w:tcW w:w="1720" w:type="dxa"/>
            <w:vAlign w:val="center"/>
          </w:tcPr>
          <w:p>
            <w:pPr>
              <w:widowControl/>
              <w:jc w:val="center"/>
              <w:rPr>
                <w:rFonts w:eastAsia="黑体"/>
                <w:bCs/>
                <w:sz w:val="18"/>
                <w:szCs w:val="18"/>
              </w:rPr>
            </w:pPr>
            <w:r>
              <w:rPr>
                <w:rFonts w:hint="eastAsia"/>
                <w:sz w:val="21"/>
                <w:szCs w:val="21"/>
              </w:rPr>
              <w:t xml:space="preserve">财务报表分析（Financial </w:t>
            </w:r>
            <w:r>
              <w:rPr>
                <w:sz w:val="21"/>
                <w:szCs w:val="21"/>
              </w:rPr>
              <w:t>S</w:t>
            </w:r>
            <w:r>
              <w:rPr>
                <w:rFonts w:hint="eastAsia"/>
                <w:sz w:val="21"/>
                <w:szCs w:val="21"/>
              </w:rPr>
              <w:t xml:space="preserve">tatement </w:t>
            </w:r>
            <w:r>
              <w:rPr>
                <w:sz w:val="21"/>
                <w:szCs w:val="21"/>
              </w:rPr>
              <w:t>A</w:t>
            </w:r>
            <w:r>
              <w:rPr>
                <w:rFonts w:hint="eastAsia"/>
                <w:sz w:val="21"/>
                <w:szCs w:val="21"/>
              </w:rPr>
              <w:t>nalysis）</w:t>
            </w:r>
          </w:p>
        </w:tc>
        <w:tc>
          <w:tcPr>
            <w:tcW w:w="6123"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这门课程提供有关财务报告程序和管理、财务报告信息披露标准的详尽解释。审查主要财务报表以及进行财务报表分析的一般框架。本门课程包括的章节内容有，介绍财务报表的概念、主题和目的等知识点；讲述资产负债表的构成及其项目的分类等内容；介绍利润表和现金流量表概述等知识点；讲述企业经营活动与财务报表的关系等内容；介绍企业报表战略分析基础等知识点；讲述企业战略等内容；介绍企业财务状况质量分析等知识点；讲述企业利润质量分析等内容；介绍现金流量质量分析等知识点；讲述企业风险分析等内容；介绍企业前景分析等知识点；讲述传统财务评价指标的局限性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exact"/>
          <w:jc w:val="center"/>
        </w:trPr>
        <w:tc>
          <w:tcPr>
            <w:tcW w:w="1110" w:type="dxa"/>
            <w:vAlign w:val="center"/>
          </w:tcPr>
          <w:p>
            <w:pPr>
              <w:widowControl/>
              <w:jc w:val="center"/>
              <w:rPr>
                <w:rFonts w:eastAsia="黑体"/>
                <w:bCs/>
                <w:sz w:val="18"/>
                <w:szCs w:val="18"/>
              </w:rPr>
            </w:pPr>
            <w:r>
              <w:rPr>
                <w:rFonts w:hint="eastAsia" w:eastAsia="黑体"/>
                <w:bCs/>
                <w:sz w:val="18"/>
                <w:szCs w:val="18"/>
              </w:rPr>
              <w:t>3</w:t>
            </w:r>
          </w:p>
        </w:tc>
        <w:tc>
          <w:tcPr>
            <w:tcW w:w="1720" w:type="dxa"/>
            <w:vAlign w:val="center"/>
          </w:tcPr>
          <w:p>
            <w:pPr>
              <w:widowControl/>
              <w:jc w:val="center"/>
              <w:rPr>
                <w:rFonts w:eastAsia="黑体"/>
                <w:bCs/>
                <w:sz w:val="18"/>
                <w:szCs w:val="18"/>
              </w:rPr>
            </w:pPr>
            <w:r>
              <w:rPr>
                <w:rFonts w:hint="eastAsia"/>
                <w:sz w:val="21"/>
                <w:szCs w:val="21"/>
              </w:rPr>
              <w:t xml:space="preserve">定量分析（Quantitative </w:t>
            </w:r>
            <w:r>
              <w:rPr>
                <w:sz w:val="21"/>
                <w:szCs w:val="21"/>
              </w:rPr>
              <w:t>A</w:t>
            </w:r>
            <w:r>
              <w:rPr>
                <w:rFonts w:hint="eastAsia"/>
                <w:sz w:val="21"/>
                <w:szCs w:val="21"/>
              </w:rPr>
              <w:t>nalysis）</w:t>
            </w:r>
          </w:p>
        </w:tc>
        <w:tc>
          <w:tcPr>
            <w:tcW w:w="6123"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这门课程介绍用于财务分析和投资决策的定量概念和技术。介绍用于传达重要数据属性（如集中趋势、位置和离散度等）的描述性统计、计量分析方法、概率理论及其在投资决策中的应用。定量分析是通过搜集数据、设立数学模型、统计推断的方法对因素的影响效应进行量化分析，结合分析结果与相关理论等，对现象背后的影响因素给出相应的解释。本门课程内容依据统计数据，建立数学模型，并用数学模型计算出分析对象的各项指标，为投资决策和风险管理提供分析基础。</w:t>
            </w:r>
          </w:p>
          <w:p>
            <w:pPr>
              <w:widowControl/>
              <w:jc w:val="left"/>
              <w:rPr>
                <w:rFonts w:eastAsia="仿宋"/>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9" w:hRule="exact"/>
          <w:jc w:val="center"/>
        </w:trPr>
        <w:tc>
          <w:tcPr>
            <w:tcW w:w="1110" w:type="dxa"/>
            <w:vAlign w:val="center"/>
          </w:tcPr>
          <w:p>
            <w:pPr>
              <w:widowControl/>
              <w:jc w:val="center"/>
              <w:rPr>
                <w:rFonts w:eastAsia="黑体"/>
                <w:bCs/>
                <w:sz w:val="18"/>
                <w:szCs w:val="18"/>
              </w:rPr>
            </w:pPr>
            <w:r>
              <w:rPr>
                <w:rFonts w:hint="eastAsia" w:eastAsia="黑体"/>
                <w:bCs/>
                <w:sz w:val="18"/>
                <w:szCs w:val="18"/>
              </w:rPr>
              <w:t>4</w:t>
            </w:r>
          </w:p>
        </w:tc>
        <w:tc>
          <w:tcPr>
            <w:tcW w:w="1720" w:type="dxa"/>
            <w:vAlign w:val="center"/>
          </w:tcPr>
          <w:p>
            <w:pPr>
              <w:widowControl/>
              <w:jc w:val="center"/>
              <w:rPr>
                <w:rFonts w:eastAsia="黑体"/>
                <w:bCs/>
                <w:sz w:val="18"/>
                <w:szCs w:val="18"/>
              </w:rPr>
            </w:pPr>
            <w:r>
              <w:rPr>
                <w:rFonts w:hint="eastAsia"/>
                <w:sz w:val="21"/>
                <w:szCs w:val="21"/>
              </w:rPr>
              <w:t>固定收益投资（Fixed Income Investments）</w:t>
            </w:r>
          </w:p>
        </w:tc>
        <w:tc>
          <w:tcPr>
            <w:tcW w:w="6123"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这门课程学习固定收益证券及其市场的收益率度量、风险因素以及估值度量和驱动因素，包括债券收益和风险的基本原理以及信用分析的基本原理。通过学习这门课程，能够让学生深入理解固定收益证券的基本概念、基本理论和基本方法，帮助学生增长投资基础知识和技能水平。本课程内容分为三个部分：基础知识部分、计算与分析部分和实践应用部分。基础知识部分包括固定收益证券核心的概念和理论，计算与分析部分包括固定收益证券的模型描述及其相关分析，实践应用部分包括理论与数学模型在债券市场和投资组合中的决策与应用。</w:t>
            </w:r>
          </w:p>
          <w:p>
            <w:pPr>
              <w:widowControl/>
              <w:jc w:val="left"/>
              <w:rPr>
                <w:rFonts w:eastAsia="仿宋"/>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exact"/>
          <w:jc w:val="center"/>
        </w:trPr>
        <w:tc>
          <w:tcPr>
            <w:tcW w:w="1110" w:type="dxa"/>
            <w:vAlign w:val="center"/>
          </w:tcPr>
          <w:p>
            <w:pPr>
              <w:widowControl/>
              <w:jc w:val="center"/>
              <w:rPr>
                <w:rFonts w:eastAsia="黑体"/>
                <w:bCs/>
                <w:sz w:val="18"/>
                <w:szCs w:val="18"/>
              </w:rPr>
            </w:pPr>
            <w:r>
              <w:rPr>
                <w:rFonts w:hint="eastAsia" w:eastAsia="黑体"/>
                <w:bCs/>
                <w:sz w:val="18"/>
                <w:szCs w:val="18"/>
              </w:rPr>
              <w:t>5</w:t>
            </w:r>
          </w:p>
        </w:tc>
        <w:tc>
          <w:tcPr>
            <w:tcW w:w="1720" w:type="dxa"/>
            <w:vAlign w:val="center"/>
          </w:tcPr>
          <w:p>
            <w:pPr>
              <w:widowControl/>
              <w:jc w:val="center"/>
              <w:rPr>
                <w:rFonts w:eastAsia="黑体"/>
                <w:bCs/>
                <w:sz w:val="18"/>
                <w:szCs w:val="18"/>
              </w:rPr>
            </w:pPr>
            <w:r>
              <w:rPr>
                <w:rFonts w:hint="eastAsia"/>
                <w:sz w:val="21"/>
                <w:szCs w:val="21"/>
              </w:rPr>
              <w:t>权益投资（Equity Investments）</w:t>
            </w:r>
          </w:p>
        </w:tc>
        <w:tc>
          <w:tcPr>
            <w:tcW w:w="6123" w:type="dxa"/>
            <w:tcBorders>
              <w:top w:val="single" w:color="auto" w:sz="4" w:space="0"/>
              <w:bottom w:val="single" w:color="auto" w:sz="4" w:space="0"/>
            </w:tcBorders>
            <w:vAlign w:val="center"/>
          </w:tcPr>
          <w:p>
            <w:pPr>
              <w:widowControl/>
              <w:jc w:val="left"/>
              <w:rPr>
                <w:rFonts w:hint="eastAsia" w:eastAsia="仿宋"/>
                <w:bCs/>
                <w:sz w:val="21"/>
                <w:szCs w:val="21"/>
              </w:rPr>
            </w:pPr>
            <w:r>
              <w:rPr>
                <w:rFonts w:hint="eastAsia" w:eastAsia="仿宋"/>
                <w:bCs/>
                <w:sz w:val="21"/>
                <w:szCs w:val="21"/>
              </w:rPr>
              <w:t>这门课程描述股票投资证券市场和指数的特征，基于股票被全球定义为满足长期增长和多元化目标的重要类别，课程讲解如何分析行业、公司以及基本股票估值模型的使用。本门课程内容包括：股票市场和股票投资基础知识，涵盖股票市场的结构、股票的种类、股票价格的形成和影响因素等；股票投资分析方法，涵盖基本面分析、技术分析、行业分析和公司分析等；股票投资组合管理，涵盖投资组合的构建、资产配置、风险控制和绩效评估等；公司治理和投资者保护，涵盖公司治理结构、投资者权益保护和信息披露等；全球投资环境和趋势，涵盖全球股票市场的发展趋势、国际投资机会和跨境投资的风险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1" w:hRule="exact"/>
          <w:jc w:val="center"/>
        </w:trPr>
        <w:tc>
          <w:tcPr>
            <w:tcW w:w="1110" w:type="dxa"/>
            <w:vAlign w:val="center"/>
          </w:tcPr>
          <w:p>
            <w:pPr>
              <w:widowControl/>
              <w:jc w:val="center"/>
              <w:rPr>
                <w:rFonts w:eastAsia="黑体"/>
                <w:bCs/>
                <w:sz w:val="18"/>
                <w:szCs w:val="18"/>
              </w:rPr>
            </w:pPr>
            <w:r>
              <w:rPr>
                <w:rFonts w:hint="eastAsia" w:eastAsia="黑体"/>
                <w:bCs/>
                <w:sz w:val="18"/>
                <w:szCs w:val="18"/>
              </w:rPr>
              <w:t>6</w:t>
            </w:r>
          </w:p>
        </w:tc>
        <w:tc>
          <w:tcPr>
            <w:tcW w:w="1720" w:type="dxa"/>
            <w:vAlign w:val="center"/>
          </w:tcPr>
          <w:p>
            <w:pPr>
              <w:widowControl/>
              <w:jc w:val="center"/>
              <w:rPr>
                <w:rFonts w:eastAsia="黑体"/>
                <w:bCs/>
                <w:sz w:val="18"/>
                <w:szCs w:val="18"/>
              </w:rPr>
            </w:pPr>
            <w:r>
              <w:rPr>
                <w:rFonts w:hint="eastAsia"/>
                <w:sz w:val="21"/>
                <w:szCs w:val="21"/>
              </w:rPr>
              <w:t>投资风险管理（</w:t>
            </w:r>
            <w:r>
              <w:rPr>
                <w:sz w:val="21"/>
                <w:szCs w:val="21"/>
              </w:rPr>
              <w:t>Investment Risk Management</w:t>
            </w:r>
            <w:r>
              <w:rPr>
                <w:rFonts w:hint="eastAsia"/>
                <w:sz w:val="21"/>
                <w:szCs w:val="21"/>
              </w:rPr>
              <w:t>）</w:t>
            </w:r>
          </w:p>
        </w:tc>
        <w:tc>
          <w:tcPr>
            <w:tcW w:w="6123" w:type="dxa"/>
            <w:tcBorders>
              <w:top w:val="single" w:color="auto" w:sz="4" w:space="0"/>
              <w:bottom w:val="single" w:color="auto" w:sz="4" w:space="0"/>
            </w:tcBorders>
            <w:vAlign w:val="center"/>
          </w:tcPr>
          <w:p>
            <w:pPr>
              <w:widowControl/>
              <w:jc w:val="left"/>
              <w:rPr>
                <w:rFonts w:hint="eastAsia" w:eastAsia="仿宋"/>
                <w:bCs/>
                <w:sz w:val="21"/>
                <w:szCs w:val="21"/>
              </w:rPr>
            </w:pPr>
            <w:r>
              <w:rPr>
                <w:rFonts w:hint="eastAsia" w:eastAsia="仿宋"/>
                <w:bCs/>
                <w:sz w:val="21"/>
                <w:szCs w:val="21"/>
              </w:rPr>
              <w:t>这门课程将包括风险管理基础、数量分析、金融市场与金融产品、风险建模、市场风险管理与测量、信用风险管理与测量、操作及综合风险管理等各类风险管理内容。投资风险管理课程介绍金融机构或企业在经营过程中，通过识别、评估、控制和监测各种风险，为投资分析和投资决策提供风险参考。本门课程旨在培养学生对金融市场风险的认识和管理能力，使其能够在实际工作中应对各种金融风险，提高金融机构或企业的风险管理水平具体包括风险识别与测量、风险控制与防范、风险监测与评估、风险应对与处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7" w:hRule="exact"/>
          <w:jc w:val="center"/>
        </w:trPr>
        <w:tc>
          <w:tcPr>
            <w:tcW w:w="1110" w:type="dxa"/>
            <w:vAlign w:val="center"/>
          </w:tcPr>
          <w:p>
            <w:pPr>
              <w:widowControl/>
              <w:jc w:val="center"/>
              <w:rPr>
                <w:rFonts w:eastAsia="黑体"/>
                <w:bCs/>
                <w:sz w:val="18"/>
                <w:szCs w:val="18"/>
              </w:rPr>
            </w:pPr>
            <w:r>
              <w:rPr>
                <w:rFonts w:hint="eastAsia" w:eastAsia="黑体"/>
                <w:bCs/>
                <w:sz w:val="18"/>
                <w:szCs w:val="18"/>
              </w:rPr>
              <w:t>7</w:t>
            </w:r>
          </w:p>
        </w:tc>
        <w:tc>
          <w:tcPr>
            <w:tcW w:w="1720" w:type="dxa"/>
            <w:vAlign w:val="center"/>
          </w:tcPr>
          <w:p>
            <w:pPr>
              <w:widowControl/>
              <w:jc w:val="center"/>
              <w:rPr>
                <w:rFonts w:eastAsia="黑体"/>
                <w:bCs/>
                <w:sz w:val="18"/>
                <w:szCs w:val="18"/>
              </w:rPr>
            </w:pPr>
            <w:r>
              <w:rPr>
                <w:rFonts w:hint="eastAsia"/>
                <w:sz w:val="21"/>
                <w:szCs w:val="21"/>
              </w:rPr>
              <w:t>衍生工具与另类投资（</w:t>
            </w:r>
            <w:r>
              <w:rPr>
                <w:sz w:val="21"/>
                <w:szCs w:val="21"/>
              </w:rPr>
              <w:t>Derivative and Alternative Investments</w:t>
            </w:r>
            <w:r>
              <w:rPr>
                <w:rFonts w:hint="eastAsia"/>
                <w:sz w:val="21"/>
                <w:szCs w:val="21"/>
              </w:rPr>
              <w:t>）</w:t>
            </w:r>
          </w:p>
        </w:tc>
        <w:tc>
          <w:tcPr>
            <w:tcW w:w="6123"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这门课程建立用于理解基本衍生产品和衍生产品市场的概念框架，例如远期、期货、掉期和期权。关于替代投资的讨论，包括对冲基金、私募股权、房地产、大宗商品和基础设施，涵盖了使用另类投资来实现多元化和更高回报的基本方法。衍生工具与另类投资课程包括的主要内容有，不同类型衍生品的定价和价值计算、不同类型另类投资品的定价和价值计算、衍生品和另类投资的交易策略，特别是用期权构建不同的交易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7" w:hRule="exact"/>
          <w:jc w:val="center"/>
        </w:trPr>
        <w:tc>
          <w:tcPr>
            <w:tcW w:w="1110" w:type="dxa"/>
            <w:vAlign w:val="center"/>
          </w:tcPr>
          <w:p>
            <w:pPr>
              <w:widowControl/>
              <w:jc w:val="center"/>
              <w:rPr>
                <w:rFonts w:eastAsia="黑体"/>
                <w:bCs/>
                <w:sz w:val="18"/>
                <w:szCs w:val="18"/>
              </w:rPr>
            </w:pPr>
            <w:r>
              <w:rPr>
                <w:rFonts w:hint="eastAsia" w:eastAsia="黑体"/>
                <w:bCs/>
                <w:sz w:val="18"/>
                <w:szCs w:val="18"/>
              </w:rPr>
              <w:t>8</w:t>
            </w:r>
          </w:p>
        </w:tc>
        <w:tc>
          <w:tcPr>
            <w:tcW w:w="1720" w:type="dxa"/>
            <w:vAlign w:val="center"/>
          </w:tcPr>
          <w:p>
            <w:pPr>
              <w:widowControl/>
              <w:jc w:val="center"/>
              <w:rPr>
                <w:sz w:val="21"/>
                <w:szCs w:val="21"/>
              </w:rPr>
            </w:pPr>
            <w:r>
              <w:rPr>
                <w:rFonts w:hint="eastAsia"/>
                <w:sz w:val="21"/>
                <w:szCs w:val="21"/>
              </w:rPr>
              <w:t>组合管理与资产配置</w:t>
            </w:r>
          </w:p>
          <w:p>
            <w:pPr>
              <w:widowControl/>
              <w:jc w:val="center"/>
              <w:rPr>
                <w:sz w:val="21"/>
                <w:szCs w:val="21"/>
              </w:rPr>
            </w:pPr>
            <w:r>
              <w:rPr>
                <w:rFonts w:hint="eastAsia"/>
                <w:sz w:val="21"/>
                <w:szCs w:val="21"/>
              </w:rPr>
              <w:t>（</w:t>
            </w:r>
            <w:r>
              <w:rPr>
                <w:sz w:val="21"/>
                <w:szCs w:val="21"/>
              </w:rPr>
              <w:t>Portfolio Management and Asset Allocation</w:t>
            </w:r>
            <w:r>
              <w:rPr>
                <w:rFonts w:hint="eastAsia"/>
                <w:sz w:val="21"/>
                <w:szCs w:val="21"/>
              </w:rPr>
              <w:t>）</w:t>
            </w:r>
          </w:p>
          <w:p>
            <w:pPr>
              <w:widowControl/>
              <w:jc w:val="center"/>
              <w:rPr>
                <w:sz w:val="21"/>
                <w:szCs w:val="21"/>
              </w:rPr>
            </w:pPr>
          </w:p>
          <w:p>
            <w:pPr>
              <w:widowControl/>
              <w:jc w:val="center"/>
              <w:rPr>
                <w:rFonts w:eastAsia="黑体"/>
                <w:bCs/>
                <w:sz w:val="18"/>
                <w:szCs w:val="18"/>
              </w:rPr>
            </w:pPr>
          </w:p>
        </w:tc>
        <w:tc>
          <w:tcPr>
            <w:tcW w:w="6123"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这门课程介绍投资组合和风险管理基础知识的使用，包括收益和风险衡量以及投资组合计划和构建。考察个人和机构投资者的需求，以及可用的投资解决方案范围，如CAPM模型等如何用于确定投资组合中的最佳风险。本门课程注重探讨投资组合的本质、投资与宏观经济运行之间的逻辑关系、资本市场的功能和体制、投资组合的经典理论、金融资产配置和管理、金融衍生品的定价和管理、投资业绩评估等专业知识。本门课程将致力于提高学生综合分析投资问题和解决投资问题的能力，并加强综合知识运用能力的培养。</w:t>
            </w:r>
          </w:p>
        </w:tc>
      </w:tr>
    </w:tbl>
    <w:p/>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yODhkODhlYzU3MWY1YWRiMWQzM2U3MWEwY2I5NWMifQ=="/>
  </w:docVars>
  <w:rsids>
    <w:rsidRoot w:val="0AE32D0C"/>
    <w:rsid w:val="00000967"/>
    <w:rsid w:val="00006DEE"/>
    <w:rsid w:val="000703B8"/>
    <w:rsid w:val="000A36AA"/>
    <w:rsid w:val="000C64AF"/>
    <w:rsid w:val="000C64BA"/>
    <w:rsid w:val="000E00D3"/>
    <w:rsid w:val="001939CE"/>
    <w:rsid w:val="00194B90"/>
    <w:rsid w:val="001C7ACF"/>
    <w:rsid w:val="001F09AC"/>
    <w:rsid w:val="002254D4"/>
    <w:rsid w:val="00227B25"/>
    <w:rsid w:val="00236FBE"/>
    <w:rsid w:val="0026214B"/>
    <w:rsid w:val="0028126B"/>
    <w:rsid w:val="002916A7"/>
    <w:rsid w:val="002D1061"/>
    <w:rsid w:val="00366044"/>
    <w:rsid w:val="00372B72"/>
    <w:rsid w:val="003A2459"/>
    <w:rsid w:val="003C2215"/>
    <w:rsid w:val="0040199F"/>
    <w:rsid w:val="00423BBC"/>
    <w:rsid w:val="00445981"/>
    <w:rsid w:val="00474C58"/>
    <w:rsid w:val="004B5A3E"/>
    <w:rsid w:val="0059036E"/>
    <w:rsid w:val="005E2145"/>
    <w:rsid w:val="00621F96"/>
    <w:rsid w:val="00641A43"/>
    <w:rsid w:val="00692085"/>
    <w:rsid w:val="006C3363"/>
    <w:rsid w:val="006E6F9A"/>
    <w:rsid w:val="007809DE"/>
    <w:rsid w:val="007A6D89"/>
    <w:rsid w:val="007C331A"/>
    <w:rsid w:val="007C4E67"/>
    <w:rsid w:val="00891A29"/>
    <w:rsid w:val="00905D67"/>
    <w:rsid w:val="00913394"/>
    <w:rsid w:val="00947420"/>
    <w:rsid w:val="0098399B"/>
    <w:rsid w:val="009B726F"/>
    <w:rsid w:val="009D7D05"/>
    <w:rsid w:val="00A07D83"/>
    <w:rsid w:val="00A651F3"/>
    <w:rsid w:val="00AE701F"/>
    <w:rsid w:val="00B85299"/>
    <w:rsid w:val="00BD7E67"/>
    <w:rsid w:val="00C41D90"/>
    <w:rsid w:val="00C572C4"/>
    <w:rsid w:val="00D024A2"/>
    <w:rsid w:val="00D529C8"/>
    <w:rsid w:val="00D652ED"/>
    <w:rsid w:val="00DB5884"/>
    <w:rsid w:val="00DD2E33"/>
    <w:rsid w:val="00E47F96"/>
    <w:rsid w:val="00EB2244"/>
    <w:rsid w:val="00F11F14"/>
    <w:rsid w:val="00F16F11"/>
    <w:rsid w:val="00F35A5A"/>
    <w:rsid w:val="00F35E16"/>
    <w:rsid w:val="00FF6BB8"/>
    <w:rsid w:val="02641DFB"/>
    <w:rsid w:val="0AE32D0C"/>
    <w:rsid w:val="1165300E"/>
    <w:rsid w:val="175A6EDF"/>
    <w:rsid w:val="1EEF22CE"/>
    <w:rsid w:val="21BF3E1B"/>
    <w:rsid w:val="3D7106DB"/>
    <w:rsid w:val="46E13E64"/>
    <w:rsid w:val="496038EF"/>
    <w:rsid w:val="516C1ECA"/>
    <w:rsid w:val="52182679"/>
    <w:rsid w:val="5C2667BC"/>
    <w:rsid w:val="60E0197E"/>
    <w:rsid w:val="6221580D"/>
    <w:rsid w:val="64844FF7"/>
    <w:rsid w:val="649F2FD7"/>
    <w:rsid w:val="687B4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9"/>
    <w:qFormat/>
    <w:uiPriority w:val="0"/>
    <w:pPr>
      <w:spacing w:line="360" w:lineRule="auto"/>
      <w:ind w:firstLine="480" w:firstLineChars="200"/>
    </w:pPr>
    <w:rPr>
      <w:rFonts w:ascii="Arial" w:hAnsi="宋体" w:cs="Arial"/>
      <w:kern w:val="2"/>
      <w:sz w:val="24"/>
      <w:szCs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sz w:val="18"/>
      <w:szCs w:val="18"/>
    </w:rPr>
  </w:style>
  <w:style w:type="character" w:customStyle="1" w:styleId="8">
    <w:name w:val="页脚 字符"/>
    <w:basedOn w:val="6"/>
    <w:link w:val="3"/>
    <w:qFormat/>
    <w:uiPriority w:val="0"/>
    <w:rPr>
      <w:rFonts w:ascii="Times New Roman" w:hAnsi="Times New Roman" w:eastAsia="宋体" w:cs="Times New Roman"/>
      <w:sz w:val="18"/>
      <w:szCs w:val="18"/>
    </w:rPr>
  </w:style>
  <w:style w:type="character" w:customStyle="1" w:styleId="9">
    <w:name w:val="正文文本缩进 2 字符"/>
    <w:basedOn w:val="6"/>
    <w:link w:val="2"/>
    <w:qFormat/>
    <w:uiPriority w:val="0"/>
    <w:rPr>
      <w:rFonts w:ascii="Arial" w:hAnsi="宋体" w:eastAsia="宋体" w:cs="Arial"/>
      <w:kern w:val="2"/>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555</Words>
  <Characters>3164</Characters>
  <Lines>26</Lines>
  <Paragraphs>7</Paragraphs>
  <TotalTime>1</TotalTime>
  <ScaleCrop>false</ScaleCrop>
  <LinksUpToDate>false</LinksUpToDate>
  <CharactersWithSpaces>3712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2023-11-21T00:51:00Z</dcterms:created>
  <dc:creator>Shine_ZHOU</dc:creator>
  <cp:lastModifiedBy>彼岸花开</cp:lastModifiedBy>
  <dcterms:modified xsi:type="dcterms:W3CDTF">2024-06-06T05:51:01Z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89BE444AC31A41DE92AD2CE08303C9EE</vt:lpwstr>
  </property>
</Properties>
</file>