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exact"/>
        <w:ind w:left="558" w:hanging="558" w:hangingChars="155"/>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rPr>
        <w:t>法学院互联网法治微专业人才培养方案</w:t>
      </w:r>
    </w:p>
    <w:p>
      <w:pPr>
        <w:widowControl/>
        <w:spacing w:after="156" w:line="0" w:lineRule="atLeast"/>
        <w:ind w:firstLine="560" w:firstLineChars="200"/>
        <w:jc w:val="left"/>
        <w:rPr>
          <w:rFonts w:ascii="黑体" w:hAnsi="黑体" w:eastAsia="黑体" w:cs="黑体"/>
          <w:bCs/>
          <w:sz w:val="28"/>
          <w:szCs w:val="28"/>
        </w:rPr>
      </w:pPr>
    </w:p>
    <w:p>
      <w:pPr>
        <w:widowControl/>
        <w:spacing w:after="156" w:line="0" w:lineRule="atLeast"/>
        <w:ind w:firstLine="482" w:firstLineChars="200"/>
        <w:jc w:val="left"/>
        <w:rPr>
          <w:rFonts w:ascii="仿宋" w:hAnsi="仿宋" w:eastAsia="仿宋" w:cs="黑体"/>
          <w:b/>
          <w:bCs/>
          <w:sz w:val="24"/>
          <w:szCs w:val="24"/>
        </w:rPr>
      </w:pPr>
      <w:r>
        <w:rPr>
          <w:rFonts w:hint="eastAsia" w:ascii="仿宋" w:hAnsi="仿宋" w:eastAsia="仿宋" w:cs="黑体"/>
          <w:b/>
          <w:bCs/>
          <w:sz w:val="24"/>
          <w:szCs w:val="24"/>
        </w:rPr>
        <w:t>一、专业培养目标</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专业坚持以马克思主义法学理论、中国特色社会主义法治理论特别是习近平法治思想为指导，坚持立德树人，德法兼修，践行明法笃行、知行合一，培养德、智、体、美、劳全面发展，具有扎实的专业知识和法律素养的复合型人才，服务北京“四个中心”建设。为已经具备经济、金融、会计、管理等专业背景的学生，普及互联网领域的民事、行政和刑事等法律知识，为后续进入相关互联网企业或者行业奠定更好的专业知识和法律基础。</w:t>
      </w:r>
    </w:p>
    <w:p>
      <w:pPr>
        <w:widowControl/>
        <w:spacing w:after="156" w:line="0" w:lineRule="atLeast"/>
        <w:ind w:firstLine="482" w:firstLineChars="200"/>
        <w:jc w:val="left"/>
        <w:rPr>
          <w:rFonts w:ascii="仿宋" w:hAnsi="仿宋" w:eastAsia="仿宋" w:cs="黑体"/>
          <w:b/>
          <w:bCs/>
          <w:sz w:val="24"/>
          <w:szCs w:val="24"/>
        </w:rPr>
      </w:pPr>
      <w:r>
        <w:rPr>
          <w:rFonts w:hint="eastAsia" w:ascii="仿宋" w:hAnsi="仿宋" w:eastAsia="仿宋" w:cs="黑体"/>
          <w:b/>
          <w:bCs/>
          <w:sz w:val="24"/>
          <w:szCs w:val="24"/>
        </w:rPr>
        <w:t>二、毕业要求</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w:t>
      </w:r>
      <w:r>
        <w:rPr>
          <w:rFonts w:hint="eastAsia" w:ascii="仿宋" w:hAnsi="仿宋" w:eastAsia="仿宋"/>
          <w:sz w:val="24"/>
          <w:szCs w:val="24"/>
        </w:rPr>
        <w:t>初步掌握互联网领域相关民事、行政、刑事等方面的法律知识；</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w:t>
      </w:r>
      <w:r>
        <w:rPr>
          <w:rFonts w:hint="eastAsia" w:ascii="仿宋" w:hAnsi="仿宋" w:eastAsia="仿宋"/>
          <w:sz w:val="24"/>
          <w:szCs w:val="24"/>
        </w:rPr>
        <w:t>初步能够将所学互联网法律知识与所修读的经济、金融、管理等专业知识结合，并具备一定的解决实践问题的能力；</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修完培养方案规定的七门课程，并获得相应学分。</w:t>
      </w:r>
    </w:p>
    <w:p>
      <w:pPr>
        <w:spacing w:before="156" w:beforeLines="50" w:after="156" w:afterLines="50" w:line="480" w:lineRule="exact"/>
        <w:ind w:firstLine="482" w:firstLineChars="200"/>
        <w:rPr>
          <w:rFonts w:ascii="仿宋" w:hAnsi="仿宋" w:eastAsia="仿宋"/>
          <w:b/>
          <w:sz w:val="24"/>
          <w:szCs w:val="24"/>
        </w:rPr>
      </w:pPr>
      <w:r>
        <w:rPr>
          <w:rFonts w:hint="eastAsia" w:ascii="仿宋" w:hAnsi="仿宋" w:eastAsia="仿宋" w:cs="黑体"/>
          <w:b/>
          <w:bCs/>
          <w:sz w:val="24"/>
          <w:szCs w:val="24"/>
        </w:rPr>
        <w:t>三、招生对象与条件</w:t>
      </w:r>
    </w:p>
    <w:p>
      <w:pPr>
        <w:spacing w:before="156" w:beforeLines="50" w:after="156" w:afterLines="50" w:line="360" w:lineRule="auto"/>
        <w:ind w:firstLine="480" w:firstLineChars="200"/>
        <w:rPr>
          <w:rFonts w:ascii="仿宋" w:hAnsi="仿宋" w:eastAsia="仿宋"/>
          <w:sz w:val="24"/>
          <w:szCs w:val="24"/>
        </w:rPr>
      </w:pPr>
      <w:r>
        <w:rPr>
          <w:rFonts w:hint="eastAsia" w:ascii="仿宋" w:hAnsi="仿宋" w:eastAsia="仿宋"/>
          <w:sz w:val="24"/>
          <w:szCs w:val="24"/>
        </w:rPr>
        <w:t>招生对象为全日制普通在校学生，全校符合条件的本科生（大一至大三年级）均可报名，无前置课程要求，特别欢迎经济、金融、会计、财税、管理等专业并有志于从事互联网行业相关工作的学生申请。</w:t>
      </w:r>
    </w:p>
    <w:p>
      <w:pPr>
        <w:spacing w:before="156" w:beforeLines="50" w:after="156" w:afterLines="50" w:line="480" w:lineRule="exact"/>
        <w:ind w:firstLine="482" w:firstLineChars="200"/>
        <w:rPr>
          <w:rFonts w:ascii="仿宋" w:hAnsi="仿宋" w:eastAsia="仿宋" w:cs="黑体"/>
          <w:b/>
          <w:bCs/>
          <w:sz w:val="24"/>
          <w:szCs w:val="24"/>
        </w:rPr>
      </w:pPr>
      <w:r>
        <w:rPr>
          <w:rFonts w:hint="eastAsia" w:ascii="仿宋" w:hAnsi="仿宋" w:eastAsia="仿宋" w:cs="黑体"/>
          <w:b/>
          <w:bCs/>
          <w:sz w:val="24"/>
          <w:szCs w:val="24"/>
        </w:rPr>
        <w:t>四、学分与证书</w:t>
      </w:r>
    </w:p>
    <w:p>
      <w:pPr>
        <w:widowControl/>
        <w:spacing w:after="156" w:line="0" w:lineRule="atLeast"/>
        <w:ind w:firstLine="480" w:firstLineChars="200"/>
        <w:jc w:val="left"/>
        <w:rPr>
          <w:rFonts w:ascii="仿宋" w:hAnsi="仿宋" w:eastAsia="仿宋"/>
          <w:sz w:val="24"/>
          <w:szCs w:val="24"/>
        </w:rPr>
      </w:pPr>
      <w:r>
        <w:rPr>
          <w:rFonts w:hint="eastAsia" w:ascii="仿宋" w:hAnsi="仿宋" w:eastAsia="仿宋"/>
          <w:sz w:val="24"/>
          <w:szCs w:val="24"/>
        </w:rPr>
        <w:t>总学分1</w:t>
      </w:r>
      <w:r>
        <w:rPr>
          <w:rFonts w:ascii="仿宋" w:hAnsi="仿宋" w:eastAsia="仿宋"/>
          <w:sz w:val="24"/>
          <w:szCs w:val="24"/>
        </w:rPr>
        <w:t>4</w:t>
      </w:r>
      <w:r>
        <w:rPr>
          <w:rFonts w:hint="eastAsia" w:ascii="仿宋" w:hAnsi="仿宋" w:eastAsia="仿宋"/>
          <w:sz w:val="24"/>
          <w:szCs w:val="24"/>
        </w:rPr>
        <w:t>学分，通过考核后，将获得互联网法治微专业证书。</w:t>
      </w:r>
    </w:p>
    <w:p>
      <w:pPr>
        <w:spacing w:before="156" w:beforeLines="50" w:after="156" w:afterLines="50" w:line="480" w:lineRule="exact"/>
        <w:ind w:firstLine="482" w:firstLineChars="200"/>
        <w:rPr>
          <w:rFonts w:ascii="仿宋" w:hAnsi="仿宋" w:eastAsia="仿宋" w:cs="黑体"/>
          <w:b/>
          <w:bCs/>
          <w:sz w:val="24"/>
          <w:szCs w:val="24"/>
        </w:rPr>
      </w:pPr>
      <w:r>
        <w:rPr>
          <w:rFonts w:hint="eastAsia" w:ascii="仿宋" w:hAnsi="仿宋" w:eastAsia="仿宋" w:cs="黑体"/>
          <w:b/>
          <w:bCs/>
          <w:sz w:val="24"/>
          <w:szCs w:val="24"/>
        </w:rPr>
        <w:t>五、课程设置</w:t>
      </w:r>
    </w:p>
    <w:p>
      <w:pPr>
        <w:widowControl/>
        <w:spacing w:after="156" w:line="0" w:lineRule="atLeast"/>
        <w:jc w:val="center"/>
        <w:rPr>
          <w:rFonts w:ascii="仿宋" w:hAnsi="仿宋" w:eastAsia="仿宋" w:cs="黑体"/>
          <w:bCs/>
          <w:sz w:val="24"/>
          <w:szCs w:val="24"/>
        </w:rPr>
      </w:pPr>
      <w:r>
        <w:rPr>
          <w:rFonts w:hint="eastAsia" w:ascii="仿宋" w:hAnsi="仿宋" w:eastAsia="仿宋" w:cs="黑体"/>
          <w:bCs/>
          <w:sz w:val="24"/>
          <w:szCs w:val="24"/>
        </w:rPr>
        <w:t>互联网法治微专业课程设置及教学进程计划表</w:t>
      </w:r>
    </w:p>
    <w:tbl>
      <w:tblPr>
        <w:tblStyle w:val="4"/>
        <w:tblW w:w="10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2"/>
        <w:gridCol w:w="1293"/>
        <w:gridCol w:w="641"/>
        <w:gridCol w:w="764"/>
        <w:gridCol w:w="791"/>
        <w:gridCol w:w="736"/>
        <w:gridCol w:w="723"/>
        <w:gridCol w:w="730"/>
        <w:gridCol w:w="843"/>
        <w:gridCol w:w="1167"/>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vMerge w:val="restart"/>
            <w:tcBorders>
              <w:bottom w:val="single" w:color="auto" w:sz="4" w:space="0"/>
            </w:tcBorders>
            <w:vAlign w:val="center"/>
          </w:tcPr>
          <w:p>
            <w:pPr>
              <w:widowControl/>
              <w:jc w:val="center"/>
              <w:rPr>
                <w:rFonts w:ascii="仿宋" w:hAnsi="仿宋" w:eastAsia="仿宋"/>
                <w:b/>
                <w:bCs/>
                <w:spacing w:val="20"/>
                <w:sz w:val="24"/>
                <w:szCs w:val="24"/>
              </w:rPr>
            </w:pPr>
            <w:r>
              <w:rPr>
                <w:rFonts w:hint="eastAsia" w:ascii="仿宋" w:hAnsi="仿宋" w:eastAsia="仿宋"/>
                <w:b/>
                <w:bCs/>
                <w:sz w:val="24"/>
                <w:szCs w:val="24"/>
              </w:rPr>
              <w:t>课程名称</w:t>
            </w:r>
          </w:p>
        </w:tc>
        <w:tc>
          <w:tcPr>
            <w:tcW w:w="1293" w:type="dxa"/>
            <w:vMerge w:val="restart"/>
            <w:vAlign w:val="center"/>
          </w:tcPr>
          <w:p>
            <w:pPr>
              <w:widowControl/>
              <w:jc w:val="center"/>
              <w:rPr>
                <w:rFonts w:ascii="仿宋" w:hAnsi="仿宋" w:eastAsia="仿宋"/>
                <w:b/>
                <w:bCs/>
                <w:sz w:val="24"/>
                <w:szCs w:val="24"/>
              </w:rPr>
            </w:pPr>
            <w:r>
              <w:rPr>
                <w:rFonts w:hint="eastAsia" w:ascii="仿宋" w:hAnsi="仿宋" w:eastAsia="仿宋"/>
                <w:b/>
                <w:bCs/>
                <w:sz w:val="24"/>
                <w:szCs w:val="24"/>
              </w:rPr>
              <w:t>课程代码</w:t>
            </w:r>
          </w:p>
        </w:tc>
        <w:tc>
          <w:tcPr>
            <w:tcW w:w="641" w:type="dxa"/>
            <w:vMerge w:val="restart"/>
            <w:tcBorders>
              <w:bottom w:val="single" w:color="auto" w:sz="4" w:space="0"/>
            </w:tcBorders>
            <w:vAlign w:val="center"/>
          </w:tcPr>
          <w:p>
            <w:pPr>
              <w:widowControl/>
              <w:jc w:val="center"/>
              <w:rPr>
                <w:rFonts w:ascii="仿宋" w:hAnsi="仿宋" w:eastAsia="仿宋"/>
                <w:b/>
                <w:bCs/>
                <w:spacing w:val="20"/>
                <w:sz w:val="24"/>
                <w:szCs w:val="24"/>
              </w:rPr>
            </w:pPr>
            <w:r>
              <w:rPr>
                <w:rFonts w:hint="eastAsia" w:ascii="仿宋" w:hAnsi="仿宋" w:eastAsia="仿宋"/>
                <w:b/>
                <w:bCs/>
                <w:sz w:val="24"/>
                <w:szCs w:val="24"/>
              </w:rPr>
              <w:t>学分</w:t>
            </w:r>
          </w:p>
        </w:tc>
        <w:tc>
          <w:tcPr>
            <w:tcW w:w="764" w:type="dxa"/>
            <w:vMerge w:val="restart"/>
            <w:vAlign w:val="center"/>
          </w:tcPr>
          <w:p>
            <w:pPr>
              <w:widowControl/>
              <w:jc w:val="center"/>
              <w:rPr>
                <w:rFonts w:ascii="仿宋" w:hAnsi="仿宋" w:eastAsia="仿宋"/>
                <w:b/>
                <w:bCs/>
                <w:sz w:val="24"/>
                <w:szCs w:val="24"/>
              </w:rPr>
            </w:pPr>
            <w:r>
              <w:rPr>
                <w:rFonts w:ascii="仿宋" w:hAnsi="仿宋" w:eastAsia="仿宋"/>
                <w:b/>
                <w:bCs/>
                <w:sz w:val="24"/>
                <w:szCs w:val="24"/>
              </w:rPr>
              <w:t>总学时</w:t>
            </w:r>
          </w:p>
        </w:tc>
        <w:tc>
          <w:tcPr>
            <w:tcW w:w="2980" w:type="dxa"/>
            <w:gridSpan w:val="4"/>
            <w:tcBorders>
              <w:bottom w:val="single" w:color="auto" w:sz="4" w:space="0"/>
            </w:tcBorders>
            <w:vAlign w:val="center"/>
          </w:tcPr>
          <w:p>
            <w:pPr>
              <w:widowControl/>
              <w:jc w:val="center"/>
              <w:rPr>
                <w:rFonts w:ascii="仿宋" w:hAnsi="仿宋" w:eastAsia="仿宋"/>
                <w:b/>
                <w:bCs/>
                <w:spacing w:val="20"/>
                <w:sz w:val="24"/>
                <w:szCs w:val="24"/>
              </w:rPr>
            </w:pPr>
            <w:r>
              <w:rPr>
                <w:rFonts w:ascii="仿宋" w:hAnsi="仿宋" w:eastAsia="仿宋"/>
                <w:b/>
                <w:bCs/>
                <w:spacing w:val="30"/>
                <w:kern w:val="0"/>
                <w:sz w:val="24"/>
                <w:szCs w:val="24"/>
                <w:fitText w:val="840" w:id="1307458760"/>
              </w:rPr>
              <w:t>学时</w:t>
            </w:r>
            <w:r>
              <w:rPr>
                <w:rFonts w:hint="eastAsia" w:ascii="仿宋" w:hAnsi="仿宋" w:eastAsia="仿宋"/>
                <w:b/>
                <w:bCs/>
                <w:spacing w:val="0"/>
                <w:kern w:val="0"/>
                <w:sz w:val="24"/>
                <w:szCs w:val="24"/>
                <w:fitText w:val="840" w:id="1307458760"/>
              </w:rPr>
              <w:t>分</w:t>
            </w:r>
            <w:r>
              <w:rPr>
                <w:rFonts w:hint="eastAsia" w:ascii="仿宋" w:hAnsi="仿宋" w:eastAsia="仿宋"/>
                <w:b/>
                <w:bCs/>
                <w:sz w:val="24"/>
                <w:szCs w:val="24"/>
              </w:rPr>
              <w:t xml:space="preserve"> 配</w:t>
            </w:r>
          </w:p>
        </w:tc>
        <w:tc>
          <w:tcPr>
            <w:tcW w:w="843" w:type="dxa"/>
            <w:vMerge w:val="restart"/>
            <w:tcBorders>
              <w:bottom w:val="single" w:color="auto" w:sz="4" w:space="0"/>
            </w:tcBorders>
            <w:vAlign w:val="center"/>
          </w:tcPr>
          <w:p>
            <w:pPr>
              <w:widowControl/>
              <w:snapToGrid w:val="0"/>
              <w:jc w:val="center"/>
              <w:rPr>
                <w:rFonts w:ascii="仿宋" w:hAnsi="仿宋" w:eastAsia="仿宋"/>
                <w:b/>
                <w:bCs/>
                <w:sz w:val="24"/>
                <w:szCs w:val="24"/>
              </w:rPr>
            </w:pPr>
            <w:r>
              <w:rPr>
                <w:rFonts w:hint="eastAsia" w:ascii="仿宋" w:hAnsi="仿宋" w:eastAsia="仿宋"/>
                <w:b/>
                <w:bCs/>
                <w:sz w:val="24"/>
                <w:szCs w:val="24"/>
              </w:rPr>
              <w:t>考核</w:t>
            </w:r>
          </w:p>
          <w:p>
            <w:pPr>
              <w:widowControl/>
              <w:jc w:val="center"/>
              <w:rPr>
                <w:rFonts w:ascii="仿宋" w:hAnsi="仿宋" w:eastAsia="仿宋"/>
                <w:b/>
                <w:bCs/>
                <w:spacing w:val="20"/>
                <w:sz w:val="24"/>
                <w:szCs w:val="24"/>
              </w:rPr>
            </w:pPr>
            <w:r>
              <w:rPr>
                <w:rFonts w:hint="eastAsia" w:ascii="仿宋" w:hAnsi="仿宋" w:eastAsia="仿宋"/>
                <w:b/>
                <w:bCs/>
                <w:sz w:val="24"/>
                <w:szCs w:val="24"/>
              </w:rPr>
              <w:t>方式</w:t>
            </w:r>
          </w:p>
        </w:tc>
        <w:tc>
          <w:tcPr>
            <w:tcW w:w="1167" w:type="dxa"/>
            <w:vMerge w:val="restart"/>
            <w:tcBorders>
              <w:bottom w:val="single" w:color="auto" w:sz="4" w:space="0"/>
            </w:tcBorders>
            <w:vAlign w:val="center"/>
          </w:tcPr>
          <w:p>
            <w:pPr>
              <w:widowControl/>
              <w:jc w:val="center"/>
              <w:rPr>
                <w:rFonts w:ascii="仿宋" w:hAnsi="仿宋" w:eastAsia="仿宋"/>
                <w:b/>
                <w:bCs/>
                <w:spacing w:val="20"/>
                <w:sz w:val="24"/>
                <w:szCs w:val="24"/>
              </w:rPr>
            </w:pPr>
            <w:r>
              <w:rPr>
                <w:rFonts w:hint="eastAsia" w:ascii="仿宋" w:hAnsi="仿宋" w:eastAsia="仿宋"/>
                <w:b/>
                <w:bCs/>
                <w:spacing w:val="20"/>
                <w:sz w:val="24"/>
                <w:szCs w:val="24"/>
              </w:rPr>
              <w:t>开课单位</w:t>
            </w:r>
          </w:p>
        </w:tc>
        <w:tc>
          <w:tcPr>
            <w:tcW w:w="716" w:type="dxa"/>
            <w:vMerge w:val="restart"/>
            <w:tcBorders>
              <w:bottom w:val="single" w:color="auto" w:sz="4" w:space="0"/>
            </w:tcBorders>
            <w:vAlign w:val="center"/>
          </w:tcPr>
          <w:p>
            <w:pPr>
              <w:widowControl/>
              <w:snapToGrid w:val="0"/>
              <w:jc w:val="center"/>
              <w:rPr>
                <w:rFonts w:ascii="仿宋" w:hAnsi="仿宋" w:eastAsia="仿宋"/>
                <w:b/>
                <w:bCs/>
                <w:sz w:val="24"/>
                <w:szCs w:val="24"/>
              </w:rPr>
            </w:pPr>
            <w:r>
              <w:rPr>
                <w:rFonts w:ascii="仿宋" w:hAnsi="仿宋" w:eastAsia="仿宋"/>
                <w:b/>
                <w:bCs/>
                <w:sz w:val="24"/>
                <w:szCs w:val="24"/>
              </w:rPr>
              <w:t>开课</w:t>
            </w:r>
          </w:p>
          <w:p>
            <w:pPr>
              <w:widowControl/>
              <w:jc w:val="center"/>
              <w:rPr>
                <w:rFonts w:ascii="仿宋" w:hAnsi="仿宋" w:eastAsia="仿宋"/>
                <w:b/>
                <w:bCs/>
                <w:spacing w:val="20"/>
                <w:sz w:val="24"/>
                <w:szCs w:val="24"/>
              </w:rPr>
            </w:pPr>
            <w:r>
              <w:rPr>
                <w:rFonts w:hint="eastAsia" w:ascii="仿宋" w:hAnsi="仿宋" w:eastAsia="仿宋"/>
                <w:b/>
                <w:bCs/>
                <w:sz w:val="24"/>
                <w:szCs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vMerge w:val="continue"/>
            <w:vAlign w:val="center"/>
          </w:tcPr>
          <w:p>
            <w:pPr>
              <w:widowControl/>
              <w:jc w:val="center"/>
              <w:rPr>
                <w:rFonts w:ascii="仿宋" w:hAnsi="仿宋" w:eastAsia="仿宋"/>
                <w:b/>
                <w:spacing w:val="20"/>
                <w:sz w:val="24"/>
                <w:szCs w:val="24"/>
              </w:rPr>
            </w:pPr>
          </w:p>
        </w:tc>
        <w:tc>
          <w:tcPr>
            <w:tcW w:w="1293" w:type="dxa"/>
            <w:vMerge w:val="continue"/>
            <w:vAlign w:val="center"/>
          </w:tcPr>
          <w:p>
            <w:pPr>
              <w:widowControl/>
              <w:jc w:val="center"/>
              <w:rPr>
                <w:rFonts w:ascii="仿宋" w:hAnsi="仿宋" w:eastAsia="仿宋"/>
                <w:b/>
                <w:spacing w:val="20"/>
                <w:sz w:val="24"/>
                <w:szCs w:val="24"/>
              </w:rPr>
            </w:pPr>
          </w:p>
        </w:tc>
        <w:tc>
          <w:tcPr>
            <w:tcW w:w="641" w:type="dxa"/>
            <w:vMerge w:val="continue"/>
            <w:vAlign w:val="center"/>
          </w:tcPr>
          <w:p>
            <w:pPr>
              <w:widowControl/>
              <w:jc w:val="center"/>
              <w:rPr>
                <w:rFonts w:ascii="仿宋" w:hAnsi="仿宋" w:eastAsia="仿宋"/>
                <w:b/>
                <w:spacing w:val="20"/>
                <w:sz w:val="24"/>
                <w:szCs w:val="24"/>
              </w:rPr>
            </w:pPr>
          </w:p>
        </w:tc>
        <w:tc>
          <w:tcPr>
            <w:tcW w:w="764" w:type="dxa"/>
            <w:vMerge w:val="continue"/>
            <w:vAlign w:val="center"/>
          </w:tcPr>
          <w:p>
            <w:pPr>
              <w:widowControl/>
              <w:jc w:val="center"/>
              <w:rPr>
                <w:rFonts w:ascii="仿宋" w:hAnsi="仿宋" w:eastAsia="仿宋"/>
                <w:b/>
                <w:spacing w:val="20"/>
                <w:sz w:val="24"/>
                <w:szCs w:val="24"/>
              </w:rPr>
            </w:pPr>
          </w:p>
        </w:tc>
        <w:tc>
          <w:tcPr>
            <w:tcW w:w="791" w:type="dxa"/>
            <w:vAlign w:val="center"/>
          </w:tcPr>
          <w:p>
            <w:pPr>
              <w:widowControl/>
              <w:jc w:val="center"/>
              <w:rPr>
                <w:rFonts w:ascii="仿宋" w:hAnsi="仿宋" w:eastAsia="仿宋"/>
                <w:b/>
                <w:bCs/>
                <w:spacing w:val="20"/>
                <w:sz w:val="24"/>
                <w:szCs w:val="24"/>
              </w:rPr>
            </w:pPr>
            <w:r>
              <w:rPr>
                <w:rFonts w:hint="eastAsia" w:ascii="仿宋" w:hAnsi="仿宋" w:eastAsia="仿宋"/>
                <w:b/>
                <w:bCs/>
                <w:sz w:val="24"/>
                <w:szCs w:val="24"/>
              </w:rPr>
              <w:t>理论</w:t>
            </w:r>
          </w:p>
        </w:tc>
        <w:tc>
          <w:tcPr>
            <w:tcW w:w="736" w:type="dxa"/>
            <w:vAlign w:val="center"/>
          </w:tcPr>
          <w:p>
            <w:pPr>
              <w:widowControl/>
              <w:jc w:val="center"/>
              <w:rPr>
                <w:rFonts w:ascii="仿宋" w:hAnsi="仿宋" w:eastAsia="仿宋"/>
                <w:b/>
                <w:bCs/>
                <w:spacing w:val="20"/>
                <w:sz w:val="24"/>
                <w:szCs w:val="24"/>
              </w:rPr>
            </w:pPr>
            <w:r>
              <w:rPr>
                <w:rFonts w:hint="eastAsia" w:ascii="仿宋" w:hAnsi="仿宋" w:eastAsia="仿宋"/>
                <w:b/>
                <w:bCs/>
                <w:sz w:val="24"/>
                <w:szCs w:val="24"/>
              </w:rPr>
              <w:t>实践</w:t>
            </w:r>
          </w:p>
        </w:tc>
        <w:tc>
          <w:tcPr>
            <w:tcW w:w="723" w:type="dxa"/>
            <w:vAlign w:val="center"/>
          </w:tcPr>
          <w:p>
            <w:pPr>
              <w:widowControl/>
              <w:jc w:val="center"/>
              <w:rPr>
                <w:rFonts w:ascii="仿宋" w:hAnsi="仿宋" w:eastAsia="仿宋"/>
                <w:b/>
                <w:bCs/>
                <w:spacing w:val="20"/>
                <w:sz w:val="24"/>
                <w:szCs w:val="24"/>
              </w:rPr>
            </w:pPr>
            <w:r>
              <w:rPr>
                <w:rFonts w:hint="eastAsia" w:ascii="仿宋" w:hAnsi="仿宋" w:eastAsia="仿宋"/>
                <w:b/>
                <w:bCs/>
                <w:sz w:val="24"/>
                <w:szCs w:val="24"/>
              </w:rPr>
              <w:t>线上学时</w:t>
            </w:r>
          </w:p>
        </w:tc>
        <w:tc>
          <w:tcPr>
            <w:tcW w:w="730" w:type="dxa"/>
            <w:vAlign w:val="center"/>
          </w:tcPr>
          <w:p>
            <w:pPr>
              <w:widowControl/>
              <w:jc w:val="center"/>
              <w:rPr>
                <w:rFonts w:ascii="仿宋" w:hAnsi="仿宋" w:eastAsia="仿宋"/>
                <w:b/>
                <w:spacing w:val="20"/>
                <w:sz w:val="24"/>
                <w:szCs w:val="24"/>
              </w:rPr>
            </w:pPr>
            <w:r>
              <w:rPr>
                <w:rFonts w:hint="eastAsia" w:ascii="仿宋" w:hAnsi="仿宋" w:eastAsia="仿宋"/>
                <w:b/>
                <w:bCs/>
                <w:sz w:val="24"/>
                <w:szCs w:val="24"/>
              </w:rPr>
              <w:t>线下学时</w:t>
            </w:r>
          </w:p>
        </w:tc>
        <w:tc>
          <w:tcPr>
            <w:tcW w:w="843" w:type="dxa"/>
            <w:vMerge w:val="continue"/>
            <w:vAlign w:val="center"/>
          </w:tcPr>
          <w:p>
            <w:pPr>
              <w:widowControl/>
              <w:jc w:val="center"/>
              <w:rPr>
                <w:rFonts w:ascii="仿宋" w:hAnsi="仿宋" w:eastAsia="仿宋"/>
                <w:b/>
                <w:spacing w:val="20"/>
                <w:sz w:val="24"/>
                <w:szCs w:val="24"/>
              </w:rPr>
            </w:pPr>
          </w:p>
        </w:tc>
        <w:tc>
          <w:tcPr>
            <w:tcW w:w="1167" w:type="dxa"/>
            <w:vMerge w:val="continue"/>
            <w:vAlign w:val="center"/>
          </w:tcPr>
          <w:p>
            <w:pPr>
              <w:widowControl/>
              <w:jc w:val="center"/>
              <w:rPr>
                <w:rFonts w:ascii="仿宋" w:hAnsi="仿宋" w:eastAsia="仿宋"/>
                <w:b/>
                <w:spacing w:val="20"/>
                <w:sz w:val="24"/>
                <w:szCs w:val="24"/>
              </w:rPr>
            </w:pPr>
          </w:p>
        </w:tc>
        <w:tc>
          <w:tcPr>
            <w:tcW w:w="716" w:type="dxa"/>
            <w:vMerge w:val="continue"/>
            <w:vAlign w:val="center"/>
          </w:tcPr>
          <w:p>
            <w:pPr>
              <w:widowControl/>
              <w:jc w:val="center"/>
              <w:rPr>
                <w:rFonts w:ascii="仿宋" w:hAnsi="仿宋" w:eastAsia="仿宋"/>
                <w:b/>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vAlign w:val="center"/>
          </w:tcPr>
          <w:p>
            <w:pPr>
              <w:keepNext w:val="0"/>
              <w:keepLines w:val="0"/>
              <w:widowControl/>
              <w:suppressLineNumbers w:val="0"/>
              <w:jc w:val="left"/>
              <w:textAlignment w:val="center"/>
              <w:rPr>
                <w:rFonts w:ascii="仿宋" w:hAnsi="仿宋" w:eastAsia="仿宋"/>
                <w:bCs/>
                <w:sz w:val="24"/>
                <w:szCs w:val="24"/>
              </w:rPr>
            </w:pPr>
            <w:r>
              <w:rPr>
                <w:rFonts w:hint="eastAsia" w:ascii="仿宋" w:hAnsi="仿宋" w:eastAsia="仿宋" w:cs="仿宋"/>
                <w:i w:val="0"/>
                <w:iCs w:val="0"/>
                <w:color w:val="000000"/>
                <w:kern w:val="0"/>
                <w:sz w:val="24"/>
                <w:szCs w:val="24"/>
                <w:u w:val="none"/>
                <w:lang w:val="en-US" w:eastAsia="zh-CN" w:bidi="ar"/>
              </w:rPr>
              <w:t>互联网公司治理与风险防控</w:t>
            </w:r>
          </w:p>
        </w:tc>
        <w:tc>
          <w:tcPr>
            <w:tcW w:w="1293" w:type="dxa"/>
            <w:vAlign w:val="center"/>
          </w:tcPr>
          <w:p>
            <w:pPr>
              <w:keepNext w:val="0"/>
              <w:keepLines w:val="0"/>
              <w:widowControl/>
              <w:suppressLineNumbers w:val="0"/>
              <w:jc w:val="left"/>
              <w:textAlignment w:val="center"/>
              <w:rPr>
                <w:rFonts w:ascii="仿宋" w:hAnsi="仿宋" w:eastAsia="仿宋"/>
                <w:b/>
                <w:spacing w:val="20"/>
                <w:sz w:val="24"/>
                <w:szCs w:val="24"/>
              </w:rPr>
            </w:pPr>
            <w:r>
              <w:rPr>
                <w:rFonts w:hint="default" w:ascii="Arial" w:hAnsi="Arial" w:eastAsia="宋体" w:cs="Arial"/>
                <w:i w:val="0"/>
                <w:iCs w:val="0"/>
                <w:color w:val="000000"/>
                <w:kern w:val="0"/>
                <w:sz w:val="20"/>
                <w:szCs w:val="20"/>
                <w:u w:val="none"/>
                <w:lang w:val="en-US" w:eastAsia="zh-CN" w:bidi="ar"/>
              </w:rPr>
              <w:t>V1024012B</w:t>
            </w:r>
          </w:p>
        </w:tc>
        <w:tc>
          <w:tcPr>
            <w:tcW w:w="641"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p>
        </w:tc>
        <w:tc>
          <w:tcPr>
            <w:tcW w:w="764"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3</w:t>
            </w:r>
            <w:r>
              <w:rPr>
                <w:rFonts w:ascii="仿宋" w:hAnsi="仿宋" w:eastAsia="仿宋"/>
                <w:spacing w:val="20"/>
                <w:sz w:val="24"/>
                <w:szCs w:val="24"/>
              </w:rPr>
              <w:t>2</w:t>
            </w:r>
          </w:p>
        </w:tc>
        <w:tc>
          <w:tcPr>
            <w:tcW w:w="791"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r>
              <w:rPr>
                <w:rFonts w:ascii="仿宋" w:hAnsi="仿宋" w:eastAsia="仿宋"/>
                <w:spacing w:val="20"/>
                <w:sz w:val="24"/>
                <w:szCs w:val="24"/>
              </w:rPr>
              <w:t>5</w:t>
            </w:r>
          </w:p>
        </w:tc>
        <w:tc>
          <w:tcPr>
            <w:tcW w:w="736"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8</w:t>
            </w:r>
          </w:p>
        </w:tc>
        <w:tc>
          <w:tcPr>
            <w:tcW w:w="723"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10</w:t>
            </w:r>
          </w:p>
        </w:tc>
        <w:tc>
          <w:tcPr>
            <w:tcW w:w="730"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22</w:t>
            </w:r>
          </w:p>
        </w:tc>
        <w:tc>
          <w:tcPr>
            <w:tcW w:w="843"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考查</w:t>
            </w:r>
          </w:p>
        </w:tc>
        <w:tc>
          <w:tcPr>
            <w:tcW w:w="1167"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法学院</w:t>
            </w:r>
          </w:p>
        </w:tc>
        <w:tc>
          <w:tcPr>
            <w:tcW w:w="716"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r>
              <w:rPr>
                <w:rFonts w:ascii="仿宋" w:hAnsi="仿宋" w:eastAsia="仿宋"/>
                <w:spacing w:val="2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1602" w:type="dxa"/>
            <w:vAlign w:val="center"/>
          </w:tcPr>
          <w:p>
            <w:pPr>
              <w:keepNext w:val="0"/>
              <w:keepLines w:val="0"/>
              <w:widowControl/>
              <w:suppressLineNumbers w:val="0"/>
              <w:jc w:val="left"/>
              <w:textAlignment w:val="center"/>
              <w:rPr>
                <w:rFonts w:ascii="仿宋" w:hAnsi="仿宋" w:eastAsia="仿宋"/>
                <w:b/>
                <w:spacing w:val="20"/>
                <w:sz w:val="24"/>
                <w:szCs w:val="24"/>
              </w:rPr>
            </w:pPr>
            <w:r>
              <w:rPr>
                <w:rFonts w:hint="eastAsia" w:ascii="仿宋" w:hAnsi="仿宋" w:eastAsia="仿宋" w:cs="仿宋"/>
                <w:i w:val="0"/>
                <w:iCs w:val="0"/>
                <w:color w:val="000000"/>
                <w:kern w:val="0"/>
                <w:sz w:val="24"/>
                <w:szCs w:val="24"/>
                <w:u w:val="none"/>
                <w:lang w:val="en-US" w:eastAsia="zh-CN" w:bidi="ar"/>
              </w:rPr>
              <w:t>电子商务法</w:t>
            </w:r>
          </w:p>
        </w:tc>
        <w:tc>
          <w:tcPr>
            <w:tcW w:w="1293" w:type="dxa"/>
            <w:vAlign w:val="center"/>
          </w:tcPr>
          <w:p>
            <w:pPr>
              <w:keepNext w:val="0"/>
              <w:keepLines w:val="0"/>
              <w:widowControl/>
              <w:suppressLineNumbers w:val="0"/>
              <w:jc w:val="left"/>
              <w:textAlignment w:val="center"/>
              <w:rPr>
                <w:rFonts w:ascii="仿宋" w:hAnsi="仿宋" w:eastAsia="仿宋"/>
                <w:b/>
                <w:spacing w:val="20"/>
                <w:sz w:val="24"/>
                <w:szCs w:val="24"/>
              </w:rPr>
            </w:pPr>
            <w:r>
              <w:rPr>
                <w:rFonts w:hint="default" w:ascii="Arial" w:hAnsi="Arial" w:eastAsia="宋体" w:cs="Arial"/>
                <w:i w:val="0"/>
                <w:iCs w:val="0"/>
                <w:color w:val="000000"/>
                <w:kern w:val="0"/>
                <w:sz w:val="20"/>
                <w:szCs w:val="20"/>
                <w:u w:val="none"/>
                <w:lang w:val="en-US" w:eastAsia="zh-CN" w:bidi="ar"/>
              </w:rPr>
              <w:t>V1024022B</w:t>
            </w:r>
          </w:p>
        </w:tc>
        <w:tc>
          <w:tcPr>
            <w:tcW w:w="641"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2</w:t>
            </w:r>
          </w:p>
        </w:tc>
        <w:tc>
          <w:tcPr>
            <w:tcW w:w="764"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3</w:t>
            </w:r>
            <w:r>
              <w:rPr>
                <w:rFonts w:ascii="仿宋" w:hAnsi="仿宋" w:eastAsia="仿宋"/>
                <w:spacing w:val="20"/>
                <w:sz w:val="24"/>
                <w:szCs w:val="24"/>
              </w:rPr>
              <w:t>2</w:t>
            </w:r>
          </w:p>
        </w:tc>
        <w:tc>
          <w:tcPr>
            <w:tcW w:w="791"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r>
              <w:rPr>
                <w:rFonts w:ascii="仿宋" w:hAnsi="仿宋" w:eastAsia="仿宋"/>
                <w:spacing w:val="20"/>
                <w:sz w:val="24"/>
                <w:szCs w:val="24"/>
              </w:rPr>
              <w:t>4</w:t>
            </w:r>
          </w:p>
        </w:tc>
        <w:tc>
          <w:tcPr>
            <w:tcW w:w="736"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8</w:t>
            </w:r>
          </w:p>
        </w:tc>
        <w:tc>
          <w:tcPr>
            <w:tcW w:w="723"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10</w:t>
            </w:r>
          </w:p>
        </w:tc>
        <w:tc>
          <w:tcPr>
            <w:tcW w:w="730"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22</w:t>
            </w:r>
          </w:p>
        </w:tc>
        <w:tc>
          <w:tcPr>
            <w:tcW w:w="843"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考查</w:t>
            </w:r>
          </w:p>
        </w:tc>
        <w:tc>
          <w:tcPr>
            <w:tcW w:w="1167"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法学院</w:t>
            </w:r>
          </w:p>
        </w:tc>
        <w:tc>
          <w:tcPr>
            <w:tcW w:w="716"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r>
              <w:rPr>
                <w:rFonts w:ascii="仿宋" w:hAnsi="仿宋" w:eastAsia="仿宋"/>
                <w:spacing w:val="2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vAlign w:val="center"/>
          </w:tcPr>
          <w:p>
            <w:pPr>
              <w:keepNext w:val="0"/>
              <w:keepLines w:val="0"/>
              <w:widowControl/>
              <w:suppressLineNumbers w:val="0"/>
              <w:jc w:val="left"/>
              <w:textAlignment w:val="center"/>
              <w:rPr>
                <w:rFonts w:ascii="仿宋" w:hAnsi="仿宋" w:eastAsia="仿宋"/>
                <w:bCs/>
                <w:sz w:val="24"/>
                <w:szCs w:val="24"/>
              </w:rPr>
            </w:pPr>
            <w:r>
              <w:rPr>
                <w:rFonts w:hint="eastAsia" w:ascii="仿宋" w:hAnsi="仿宋" w:eastAsia="仿宋" w:cs="仿宋"/>
                <w:i w:val="0"/>
                <w:iCs w:val="0"/>
                <w:color w:val="000000"/>
                <w:kern w:val="0"/>
                <w:sz w:val="24"/>
                <w:szCs w:val="24"/>
                <w:u w:val="none"/>
                <w:lang w:val="en-US" w:eastAsia="zh-CN" w:bidi="ar"/>
              </w:rPr>
              <w:t>网络时代知识产权典型案例</w:t>
            </w:r>
          </w:p>
        </w:tc>
        <w:tc>
          <w:tcPr>
            <w:tcW w:w="1293" w:type="dxa"/>
            <w:vAlign w:val="center"/>
          </w:tcPr>
          <w:p>
            <w:pPr>
              <w:keepNext w:val="0"/>
              <w:keepLines w:val="0"/>
              <w:widowControl/>
              <w:suppressLineNumbers w:val="0"/>
              <w:jc w:val="left"/>
              <w:textAlignment w:val="center"/>
              <w:rPr>
                <w:rFonts w:ascii="仿宋" w:hAnsi="仿宋" w:eastAsia="仿宋"/>
                <w:b/>
                <w:spacing w:val="20"/>
                <w:sz w:val="24"/>
                <w:szCs w:val="24"/>
              </w:rPr>
            </w:pPr>
            <w:r>
              <w:rPr>
                <w:rFonts w:hint="default" w:ascii="Arial" w:hAnsi="Arial" w:eastAsia="宋体" w:cs="Arial"/>
                <w:i w:val="0"/>
                <w:iCs w:val="0"/>
                <w:color w:val="000000"/>
                <w:kern w:val="0"/>
                <w:sz w:val="20"/>
                <w:szCs w:val="20"/>
                <w:u w:val="none"/>
                <w:lang w:val="en-US" w:eastAsia="zh-CN" w:bidi="ar"/>
              </w:rPr>
              <w:t>V1024032B</w:t>
            </w:r>
          </w:p>
        </w:tc>
        <w:tc>
          <w:tcPr>
            <w:tcW w:w="641"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p>
        </w:tc>
        <w:tc>
          <w:tcPr>
            <w:tcW w:w="764"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3</w:t>
            </w:r>
            <w:r>
              <w:rPr>
                <w:rFonts w:ascii="仿宋" w:hAnsi="仿宋" w:eastAsia="仿宋"/>
                <w:spacing w:val="20"/>
                <w:sz w:val="24"/>
                <w:szCs w:val="24"/>
              </w:rPr>
              <w:t>2</w:t>
            </w:r>
          </w:p>
        </w:tc>
        <w:tc>
          <w:tcPr>
            <w:tcW w:w="791"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r>
              <w:rPr>
                <w:rFonts w:ascii="仿宋" w:hAnsi="仿宋" w:eastAsia="仿宋"/>
                <w:spacing w:val="20"/>
                <w:sz w:val="24"/>
                <w:szCs w:val="24"/>
              </w:rPr>
              <w:t>4</w:t>
            </w:r>
          </w:p>
        </w:tc>
        <w:tc>
          <w:tcPr>
            <w:tcW w:w="736"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8</w:t>
            </w:r>
          </w:p>
        </w:tc>
        <w:tc>
          <w:tcPr>
            <w:tcW w:w="723"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10</w:t>
            </w:r>
          </w:p>
        </w:tc>
        <w:tc>
          <w:tcPr>
            <w:tcW w:w="730"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22</w:t>
            </w:r>
          </w:p>
        </w:tc>
        <w:tc>
          <w:tcPr>
            <w:tcW w:w="843"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考查</w:t>
            </w:r>
          </w:p>
        </w:tc>
        <w:tc>
          <w:tcPr>
            <w:tcW w:w="1167"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法学院</w:t>
            </w:r>
          </w:p>
        </w:tc>
        <w:tc>
          <w:tcPr>
            <w:tcW w:w="716"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r>
              <w:rPr>
                <w:rFonts w:ascii="仿宋" w:hAnsi="仿宋" w:eastAsia="仿宋"/>
                <w:spacing w:val="2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vAlign w:val="center"/>
          </w:tcPr>
          <w:p>
            <w:pPr>
              <w:keepNext w:val="0"/>
              <w:keepLines w:val="0"/>
              <w:widowControl/>
              <w:suppressLineNumbers w:val="0"/>
              <w:jc w:val="left"/>
              <w:textAlignment w:val="center"/>
              <w:rPr>
                <w:rFonts w:ascii="仿宋" w:hAnsi="仿宋" w:eastAsia="仿宋"/>
                <w:b/>
                <w:spacing w:val="20"/>
                <w:sz w:val="24"/>
                <w:szCs w:val="24"/>
              </w:rPr>
            </w:pPr>
            <w:r>
              <w:rPr>
                <w:rFonts w:hint="eastAsia" w:ascii="仿宋" w:hAnsi="仿宋" w:eastAsia="仿宋" w:cs="仿宋"/>
                <w:i w:val="0"/>
                <w:iCs w:val="0"/>
                <w:color w:val="000000"/>
                <w:kern w:val="0"/>
                <w:sz w:val="24"/>
                <w:szCs w:val="24"/>
                <w:u w:val="none"/>
                <w:lang w:val="en-US" w:eastAsia="zh-CN" w:bidi="ar"/>
              </w:rPr>
              <w:t>互联网金融理论与实践</w:t>
            </w:r>
          </w:p>
        </w:tc>
        <w:tc>
          <w:tcPr>
            <w:tcW w:w="1293" w:type="dxa"/>
            <w:vAlign w:val="center"/>
          </w:tcPr>
          <w:p>
            <w:pPr>
              <w:keepNext w:val="0"/>
              <w:keepLines w:val="0"/>
              <w:widowControl/>
              <w:suppressLineNumbers w:val="0"/>
              <w:jc w:val="left"/>
              <w:textAlignment w:val="center"/>
              <w:rPr>
                <w:rFonts w:ascii="仿宋" w:hAnsi="仿宋" w:eastAsia="仿宋"/>
                <w:b/>
                <w:spacing w:val="20"/>
                <w:sz w:val="24"/>
                <w:szCs w:val="24"/>
              </w:rPr>
            </w:pPr>
            <w:r>
              <w:rPr>
                <w:rFonts w:hint="default" w:ascii="Arial" w:hAnsi="Arial" w:eastAsia="宋体" w:cs="Arial"/>
                <w:i w:val="0"/>
                <w:iCs w:val="0"/>
                <w:color w:val="000000"/>
                <w:kern w:val="0"/>
                <w:sz w:val="20"/>
                <w:szCs w:val="20"/>
                <w:u w:val="none"/>
                <w:lang w:val="en-US" w:eastAsia="zh-CN" w:bidi="ar"/>
              </w:rPr>
              <w:t>V11240</w:t>
            </w:r>
            <w:r>
              <w:rPr>
                <w:rFonts w:hint="eastAsia" w:ascii="Arial" w:hAnsi="Arial" w:cs="Arial"/>
                <w:i w:val="0"/>
                <w:iCs w:val="0"/>
                <w:color w:val="000000"/>
                <w:kern w:val="0"/>
                <w:sz w:val="20"/>
                <w:szCs w:val="20"/>
                <w:u w:val="none"/>
                <w:lang w:val="en-US" w:eastAsia="zh-CN" w:bidi="ar"/>
              </w:rPr>
              <w:t>9</w:t>
            </w:r>
            <w:r>
              <w:rPr>
                <w:rFonts w:hint="default" w:ascii="Arial" w:hAnsi="Arial" w:eastAsia="宋体" w:cs="Arial"/>
                <w:i w:val="0"/>
                <w:iCs w:val="0"/>
                <w:color w:val="000000"/>
                <w:kern w:val="0"/>
                <w:sz w:val="20"/>
                <w:szCs w:val="20"/>
                <w:u w:val="none"/>
                <w:lang w:val="en-US" w:eastAsia="zh-CN" w:bidi="ar"/>
              </w:rPr>
              <w:t>2B</w:t>
            </w:r>
          </w:p>
        </w:tc>
        <w:tc>
          <w:tcPr>
            <w:tcW w:w="641"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p>
        </w:tc>
        <w:tc>
          <w:tcPr>
            <w:tcW w:w="764"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3</w:t>
            </w:r>
            <w:r>
              <w:rPr>
                <w:rFonts w:ascii="仿宋" w:hAnsi="仿宋" w:eastAsia="仿宋"/>
                <w:spacing w:val="20"/>
                <w:sz w:val="24"/>
                <w:szCs w:val="24"/>
              </w:rPr>
              <w:t>2</w:t>
            </w:r>
          </w:p>
        </w:tc>
        <w:tc>
          <w:tcPr>
            <w:tcW w:w="791"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r>
              <w:rPr>
                <w:rFonts w:ascii="仿宋" w:hAnsi="仿宋" w:eastAsia="仿宋"/>
                <w:spacing w:val="20"/>
                <w:sz w:val="24"/>
                <w:szCs w:val="24"/>
              </w:rPr>
              <w:t>4</w:t>
            </w:r>
          </w:p>
        </w:tc>
        <w:tc>
          <w:tcPr>
            <w:tcW w:w="736"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8</w:t>
            </w:r>
          </w:p>
        </w:tc>
        <w:tc>
          <w:tcPr>
            <w:tcW w:w="723"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10</w:t>
            </w:r>
          </w:p>
        </w:tc>
        <w:tc>
          <w:tcPr>
            <w:tcW w:w="730"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22</w:t>
            </w:r>
          </w:p>
        </w:tc>
        <w:tc>
          <w:tcPr>
            <w:tcW w:w="843"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考查</w:t>
            </w:r>
          </w:p>
        </w:tc>
        <w:tc>
          <w:tcPr>
            <w:tcW w:w="1167"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金融</w:t>
            </w:r>
          </w:p>
          <w:p>
            <w:pPr>
              <w:widowControl/>
              <w:jc w:val="center"/>
              <w:rPr>
                <w:rFonts w:ascii="仿宋" w:hAnsi="仿宋" w:eastAsia="仿宋"/>
                <w:spacing w:val="20"/>
                <w:sz w:val="24"/>
                <w:szCs w:val="24"/>
              </w:rPr>
            </w:pPr>
            <w:r>
              <w:rPr>
                <w:rFonts w:hint="eastAsia" w:ascii="仿宋" w:hAnsi="仿宋" w:eastAsia="仿宋"/>
                <w:spacing w:val="20"/>
                <w:sz w:val="24"/>
                <w:szCs w:val="24"/>
              </w:rPr>
              <w:t>学院</w:t>
            </w:r>
          </w:p>
        </w:tc>
        <w:tc>
          <w:tcPr>
            <w:tcW w:w="716"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r>
              <w:rPr>
                <w:rFonts w:ascii="仿宋" w:hAnsi="仿宋" w:eastAsia="仿宋"/>
                <w:spacing w:val="2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vAlign w:val="center"/>
          </w:tcPr>
          <w:p>
            <w:pPr>
              <w:keepNext w:val="0"/>
              <w:keepLines w:val="0"/>
              <w:widowControl/>
              <w:suppressLineNumbers w:val="0"/>
              <w:jc w:val="left"/>
              <w:textAlignment w:val="center"/>
              <w:rPr>
                <w:rFonts w:ascii="仿宋" w:hAnsi="仿宋" w:eastAsia="仿宋"/>
                <w:b/>
                <w:spacing w:val="20"/>
                <w:sz w:val="24"/>
                <w:szCs w:val="24"/>
              </w:rPr>
            </w:pPr>
            <w:r>
              <w:rPr>
                <w:rFonts w:hint="eastAsia" w:ascii="仿宋" w:hAnsi="仿宋" w:eastAsia="仿宋" w:cs="仿宋"/>
                <w:i w:val="0"/>
                <w:iCs w:val="0"/>
                <w:color w:val="000000"/>
                <w:kern w:val="0"/>
                <w:sz w:val="24"/>
                <w:szCs w:val="24"/>
                <w:u w:val="none"/>
                <w:lang w:val="en-US" w:eastAsia="zh-CN" w:bidi="ar"/>
              </w:rPr>
              <w:t>互联网纠纷解决机制</w:t>
            </w:r>
          </w:p>
        </w:tc>
        <w:tc>
          <w:tcPr>
            <w:tcW w:w="1293" w:type="dxa"/>
            <w:vAlign w:val="center"/>
          </w:tcPr>
          <w:p>
            <w:pPr>
              <w:keepNext w:val="0"/>
              <w:keepLines w:val="0"/>
              <w:widowControl/>
              <w:suppressLineNumbers w:val="0"/>
              <w:jc w:val="left"/>
              <w:textAlignment w:val="center"/>
              <w:rPr>
                <w:rFonts w:ascii="仿宋" w:hAnsi="仿宋" w:eastAsia="仿宋"/>
                <w:b/>
                <w:spacing w:val="20"/>
                <w:sz w:val="24"/>
                <w:szCs w:val="24"/>
              </w:rPr>
            </w:pPr>
            <w:r>
              <w:rPr>
                <w:rFonts w:hint="default" w:ascii="Arial" w:hAnsi="Arial" w:eastAsia="宋体" w:cs="Arial"/>
                <w:i w:val="0"/>
                <w:iCs w:val="0"/>
                <w:color w:val="000000"/>
                <w:kern w:val="0"/>
                <w:sz w:val="20"/>
                <w:szCs w:val="20"/>
                <w:u w:val="none"/>
                <w:lang w:val="en-US" w:eastAsia="zh-CN" w:bidi="ar"/>
              </w:rPr>
              <w:t>V10240</w:t>
            </w:r>
            <w:bookmarkStart w:id="0" w:name="_GoBack"/>
            <w:bookmarkEnd w:id="0"/>
            <w:r>
              <w:rPr>
                <w:rFonts w:hint="default" w:ascii="Arial" w:hAnsi="Arial" w:eastAsia="宋体" w:cs="Arial"/>
                <w:i w:val="0"/>
                <w:iCs w:val="0"/>
                <w:color w:val="000000"/>
                <w:kern w:val="0"/>
                <w:sz w:val="20"/>
                <w:szCs w:val="20"/>
                <w:u w:val="none"/>
                <w:lang w:val="en-US" w:eastAsia="zh-CN" w:bidi="ar"/>
              </w:rPr>
              <w:t>52B</w:t>
            </w:r>
          </w:p>
        </w:tc>
        <w:tc>
          <w:tcPr>
            <w:tcW w:w="641"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p>
        </w:tc>
        <w:tc>
          <w:tcPr>
            <w:tcW w:w="764"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3</w:t>
            </w:r>
            <w:r>
              <w:rPr>
                <w:rFonts w:ascii="仿宋" w:hAnsi="仿宋" w:eastAsia="仿宋"/>
                <w:spacing w:val="20"/>
                <w:sz w:val="24"/>
                <w:szCs w:val="24"/>
              </w:rPr>
              <w:t>2</w:t>
            </w:r>
          </w:p>
        </w:tc>
        <w:tc>
          <w:tcPr>
            <w:tcW w:w="791"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r>
              <w:rPr>
                <w:rFonts w:ascii="仿宋" w:hAnsi="仿宋" w:eastAsia="仿宋"/>
                <w:spacing w:val="20"/>
                <w:sz w:val="24"/>
                <w:szCs w:val="24"/>
              </w:rPr>
              <w:t>2</w:t>
            </w:r>
          </w:p>
        </w:tc>
        <w:tc>
          <w:tcPr>
            <w:tcW w:w="736"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1</w:t>
            </w:r>
            <w:r>
              <w:rPr>
                <w:rFonts w:ascii="仿宋" w:hAnsi="仿宋" w:eastAsia="仿宋"/>
                <w:spacing w:val="20"/>
                <w:sz w:val="24"/>
                <w:szCs w:val="24"/>
              </w:rPr>
              <w:t>0</w:t>
            </w:r>
          </w:p>
        </w:tc>
        <w:tc>
          <w:tcPr>
            <w:tcW w:w="723"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10</w:t>
            </w:r>
          </w:p>
        </w:tc>
        <w:tc>
          <w:tcPr>
            <w:tcW w:w="730"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22</w:t>
            </w:r>
          </w:p>
        </w:tc>
        <w:tc>
          <w:tcPr>
            <w:tcW w:w="843"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考查</w:t>
            </w:r>
          </w:p>
        </w:tc>
        <w:tc>
          <w:tcPr>
            <w:tcW w:w="1167"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法学院</w:t>
            </w:r>
          </w:p>
        </w:tc>
        <w:tc>
          <w:tcPr>
            <w:tcW w:w="716"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r>
              <w:rPr>
                <w:rFonts w:ascii="仿宋" w:hAnsi="仿宋" w:eastAsia="仿宋"/>
                <w:spacing w:val="2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vAlign w:val="center"/>
          </w:tcPr>
          <w:p>
            <w:pPr>
              <w:keepNext w:val="0"/>
              <w:keepLines w:val="0"/>
              <w:widowControl/>
              <w:suppressLineNumbers w:val="0"/>
              <w:jc w:val="left"/>
              <w:textAlignment w:val="center"/>
              <w:rPr>
                <w:rFonts w:ascii="仿宋" w:hAnsi="仿宋" w:eastAsia="仿宋"/>
                <w:bCs/>
                <w:sz w:val="24"/>
                <w:szCs w:val="24"/>
              </w:rPr>
            </w:pPr>
            <w:r>
              <w:rPr>
                <w:rFonts w:hint="eastAsia" w:ascii="仿宋" w:hAnsi="仿宋" w:eastAsia="仿宋" w:cs="仿宋"/>
                <w:i w:val="0"/>
                <w:iCs w:val="0"/>
                <w:color w:val="000000"/>
                <w:kern w:val="0"/>
                <w:sz w:val="24"/>
                <w:szCs w:val="24"/>
                <w:u w:val="none"/>
                <w:lang w:val="en-US" w:eastAsia="zh-CN" w:bidi="ar"/>
              </w:rPr>
              <w:t>互联网犯罪治理</w:t>
            </w:r>
          </w:p>
        </w:tc>
        <w:tc>
          <w:tcPr>
            <w:tcW w:w="1293" w:type="dxa"/>
            <w:vAlign w:val="center"/>
          </w:tcPr>
          <w:p>
            <w:pPr>
              <w:keepNext w:val="0"/>
              <w:keepLines w:val="0"/>
              <w:widowControl/>
              <w:suppressLineNumbers w:val="0"/>
              <w:jc w:val="left"/>
              <w:textAlignment w:val="center"/>
              <w:rPr>
                <w:rFonts w:ascii="仿宋" w:hAnsi="仿宋" w:eastAsia="仿宋"/>
                <w:b/>
                <w:spacing w:val="20"/>
                <w:sz w:val="24"/>
                <w:szCs w:val="24"/>
              </w:rPr>
            </w:pPr>
            <w:r>
              <w:rPr>
                <w:rFonts w:hint="default" w:ascii="Arial" w:hAnsi="Arial" w:eastAsia="宋体" w:cs="Arial"/>
                <w:i w:val="0"/>
                <w:iCs w:val="0"/>
                <w:color w:val="000000"/>
                <w:kern w:val="0"/>
                <w:sz w:val="20"/>
                <w:szCs w:val="20"/>
                <w:u w:val="none"/>
                <w:lang w:val="en-US" w:eastAsia="zh-CN" w:bidi="ar"/>
              </w:rPr>
              <w:t>V1024062B</w:t>
            </w:r>
          </w:p>
        </w:tc>
        <w:tc>
          <w:tcPr>
            <w:tcW w:w="641"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p>
        </w:tc>
        <w:tc>
          <w:tcPr>
            <w:tcW w:w="764"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3</w:t>
            </w:r>
            <w:r>
              <w:rPr>
                <w:rFonts w:ascii="仿宋" w:hAnsi="仿宋" w:eastAsia="仿宋"/>
                <w:spacing w:val="20"/>
                <w:sz w:val="24"/>
                <w:szCs w:val="24"/>
              </w:rPr>
              <w:t>2</w:t>
            </w:r>
          </w:p>
        </w:tc>
        <w:tc>
          <w:tcPr>
            <w:tcW w:w="791"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r>
              <w:rPr>
                <w:rFonts w:ascii="仿宋" w:hAnsi="仿宋" w:eastAsia="仿宋"/>
                <w:spacing w:val="20"/>
                <w:sz w:val="24"/>
                <w:szCs w:val="24"/>
              </w:rPr>
              <w:t>2</w:t>
            </w:r>
          </w:p>
        </w:tc>
        <w:tc>
          <w:tcPr>
            <w:tcW w:w="736"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1</w:t>
            </w:r>
            <w:r>
              <w:rPr>
                <w:rFonts w:ascii="仿宋" w:hAnsi="仿宋" w:eastAsia="仿宋"/>
                <w:spacing w:val="20"/>
                <w:sz w:val="24"/>
                <w:szCs w:val="24"/>
              </w:rPr>
              <w:t>0</w:t>
            </w:r>
          </w:p>
        </w:tc>
        <w:tc>
          <w:tcPr>
            <w:tcW w:w="723"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1</w:t>
            </w:r>
            <w:r>
              <w:rPr>
                <w:rFonts w:ascii="仿宋" w:hAnsi="仿宋" w:eastAsia="仿宋"/>
                <w:spacing w:val="20"/>
                <w:sz w:val="24"/>
                <w:szCs w:val="24"/>
              </w:rPr>
              <w:t>0</w:t>
            </w:r>
          </w:p>
        </w:tc>
        <w:tc>
          <w:tcPr>
            <w:tcW w:w="730"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22</w:t>
            </w:r>
          </w:p>
        </w:tc>
        <w:tc>
          <w:tcPr>
            <w:tcW w:w="843"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考查</w:t>
            </w:r>
          </w:p>
        </w:tc>
        <w:tc>
          <w:tcPr>
            <w:tcW w:w="1167"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法学院</w:t>
            </w:r>
          </w:p>
        </w:tc>
        <w:tc>
          <w:tcPr>
            <w:tcW w:w="716"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r>
              <w:rPr>
                <w:rFonts w:ascii="仿宋" w:hAnsi="仿宋" w:eastAsia="仿宋"/>
                <w:spacing w:val="2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vAlign w:val="center"/>
          </w:tcPr>
          <w:p>
            <w:pPr>
              <w:keepNext w:val="0"/>
              <w:keepLines w:val="0"/>
              <w:widowControl/>
              <w:suppressLineNumbers w:val="0"/>
              <w:jc w:val="left"/>
              <w:textAlignment w:val="center"/>
              <w:rPr>
                <w:rFonts w:ascii="仿宋" w:hAnsi="仿宋" w:eastAsia="仿宋"/>
                <w:b/>
                <w:spacing w:val="20"/>
                <w:sz w:val="24"/>
                <w:szCs w:val="24"/>
              </w:rPr>
            </w:pPr>
            <w:r>
              <w:rPr>
                <w:rFonts w:hint="eastAsia" w:ascii="仿宋" w:hAnsi="仿宋" w:eastAsia="仿宋" w:cs="仿宋"/>
                <w:i w:val="0"/>
                <w:iCs w:val="0"/>
                <w:color w:val="000000"/>
                <w:kern w:val="0"/>
                <w:sz w:val="24"/>
                <w:szCs w:val="24"/>
                <w:u w:val="none"/>
                <w:lang w:val="en-US" w:eastAsia="zh-CN" w:bidi="ar"/>
              </w:rPr>
              <w:t>互联网消费者与劳动者权益保护</w:t>
            </w:r>
          </w:p>
        </w:tc>
        <w:tc>
          <w:tcPr>
            <w:tcW w:w="1293" w:type="dxa"/>
            <w:vAlign w:val="center"/>
          </w:tcPr>
          <w:p>
            <w:pPr>
              <w:keepNext w:val="0"/>
              <w:keepLines w:val="0"/>
              <w:widowControl/>
              <w:suppressLineNumbers w:val="0"/>
              <w:jc w:val="left"/>
              <w:textAlignment w:val="center"/>
              <w:rPr>
                <w:rFonts w:ascii="仿宋" w:hAnsi="仿宋" w:eastAsia="仿宋"/>
                <w:b/>
                <w:spacing w:val="20"/>
                <w:sz w:val="24"/>
                <w:szCs w:val="24"/>
              </w:rPr>
            </w:pPr>
            <w:r>
              <w:rPr>
                <w:rFonts w:hint="default" w:ascii="Arial" w:hAnsi="Arial" w:eastAsia="宋体" w:cs="Arial"/>
                <w:i w:val="0"/>
                <w:iCs w:val="0"/>
                <w:color w:val="000000"/>
                <w:kern w:val="0"/>
                <w:sz w:val="20"/>
                <w:szCs w:val="20"/>
                <w:u w:val="none"/>
                <w:lang w:val="en-US" w:eastAsia="zh-CN" w:bidi="ar"/>
              </w:rPr>
              <w:t>V1024072B</w:t>
            </w:r>
          </w:p>
        </w:tc>
        <w:tc>
          <w:tcPr>
            <w:tcW w:w="641"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p>
        </w:tc>
        <w:tc>
          <w:tcPr>
            <w:tcW w:w="764"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3</w:t>
            </w:r>
            <w:r>
              <w:rPr>
                <w:rFonts w:ascii="仿宋" w:hAnsi="仿宋" w:eastAsia="仿宋"/>
                <w:spacing w:val="20"/>
                <w:sz w:val="24"/>
                <w:szCs w:val="24"/>
              </w:rPr>
              <w:t>2</w:t>
            </w:r>
          </w:p>
        </w:tc>
        <w:tc>
          <w:tcPr>
            <w:tcW w:w="791"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2</w:t>
            </w:r>
            <w:r>
              <w:rPr>
                <w:rFonts w:ascii="仿宋" w:hAnsi="仿宋" w:eastAsia="仿宋"/>
                <w:spacing w:val="20"/>
                <w:sz w:val="24"/>
                <w:szCs w:val="24"/>
              </w:rPr>
              <w:t>2</w:t>
            </w:r>
          </w:p>
        </w:tc>
        <w:tc>
          <w:tcPr>
            <w:tcW w:w="736"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1</w:t>
            </w:r>
            <w:r>
              <w:rPr>
                <w:rFonts w:ascii="仿宋" w:hAnsi="仿宋" w:eastAsia="仿宋"/>
                <w:spacing w:val="20"/>
                <w:sz w:val="24"/>
                <w:szCs w:val="24"/>
              </w:rPr>
              <w:t>0</w:t>
            </w:r>
          </w:p>
        </w:tc>
        <w:tc>
          <w:tcPr>
            <w:tcW w:w="723"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1</w:t>
            </w:r>
            <w:r>
              <w:rPr>
                <w:rFonts w:ascii="仿宋" w:hAnsi="仿宋" w:eastAsia="仿宋"/>
                <w:spacing w:val="20"/>
                <w:sz w:val="24"/>
                <w:szCs w:val="24"/>
              </w:rPr>
              <w:t>0</w:t>
            </w:r>
          </w:p>
        </w:tc>
        <w:tc>
          <w:tcPr>
            <w:tcW w:w="730"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22</w:t>
            </w:r>
          </w:p>
        </w:tc>
        <w:tc>
          <w:tcPr>
            <w:tcW w:w="843"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考查</w:t>
            </w:r>
          </w:p>
        </w:tc>
        <w:tc>
          <w:tcPr>
            <w:tcW w:w="1167" w:type="dxa"/>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法学院</w:t>
            </w:r>
          </w:p>
        </w:tc>
        <w:tc>
          <w:tcPr>
            <w:tcW w:w="716" w:type="dxa"/>
            <w:vAlign w:val="center"/>
          </w:tcPr>
          <w:p>
            <w:pPr>
              <w:widowControl/>
              <w:jc w:val="center"/>
              <w:rPr>
                <w:rFonts w:ascii="仿宋" w:hAnsi="仿宋" w:eastAsia="仿宋"/>
                <w:spacing w:val="20"/>
                <w:sz w:val="24"/>
                <w:szCs w:val="24"/>
              </w:rPr>
            </w:pPr>
            <w:r>
              <w:rPr>
                <w:rFonts w:ascii="仿宋" w:hAnsi="仿宋" w:eastAsia="仿宋"/>
                <w:spacing w:val="20"/>
                <w:sz w:val="24"/>
                <w:szCs w:val="24"/>
              </w:rPr>
              <w:t>2</w:t>
            </w:r>
            <w:r>
              <w:rPr>
                <w:rFonts w:hint="eastAsia" w:ascii="仿宋" w:hAnsi="仿宋" w:eastAsia="仿宋"/>
                <w:spacing w:val="20"/>
                <w:sz w:val="24"/>
                <w:szCs w:val="24"/>
              </w:rPr>
              <w:t>-</w:t>
            </w:r>
            <w:r>
              <w:rPr>
                <w:rFonts w:ascii="仿宋" w:hAnsi="仿宋" w:eastAsia="仿宋"/>
                <w:spacing w:val="2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tcBorders>
              <w:bottom w:val="single" w:color="auto" w:sz="4" w:space="0"/>
            </w:tcBorders>
            <w:vAlign w:val="center"/>
          </w:tcPr>
          <w:p>
            <w:pPr>
              <w:widowControl/>
              <w:jc w:val="center"/>
              <w:rPr>
                <w:rFonts w:ascii="仿宋" w:hAnsi="仿宋" w:eastAsia="仿宋"/>
                <w:bCs/>
                <w:sz w:val="24"/>
                <w:szCs w:val="24"/>
              </w:rPr>
            </w:pPr>
            <w:r>
              <w:rPr>
                <w:rFonts w:hint="eastAsia" w:ascii="仿宋" w:hAnsi="仿宋" w:eastAsia="仿宋"/>
                <w:bCs/>
                <w:sz w:val="24"/>
                <w:szCs w:val="24"/>
              </w:rPr>
              <w:t>合计</w:t>
            </w:r>
          </w:p>
        </w:tc>
        <w:tc>
          <w:tcPr>
            <w:tcW w:w="1293" w:type="dxa"/>
            <w:tcBorders>
              <w:bottom w:val="single" w:color="auto" w:sz="4" w:space="0"/>
            </w:tcBorders>
            <w:vAlign w:val="center"/>
          </w:tcPr>
          <w:p>
            <w:pPr>
              <w:widowControl/>
              <w:jc w:val="center"/>
              <w:rPr>
                <w:rFonts w:ascii="仿宋" w:hAnsi="仿宋" w:eastAsia="仿宋"/>
                <w:b/>
                <w:spacing w:val="20"/>
                <w:sz w:val="24"/>
                <w:szCs w:val="24"/>
              </w:rPr>
            </w:pPr>
          </w:p>
        </w:tc>
        <w:tc>
          <w:tcPr>
            <w:tcW w:w="641" w:type="dxa"/>
            <w:tcBorders>
              <w:bottom w:val="single" w:color="auto" w:sz="4" w:space="0"/>
            </w:tcBorders>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1</w:t>
            </w:r>
            <w:r>
              <w:rPr>
                <w:rFonts w:ascii="仿宋" w:hAnsi="仿宋" w:eastAsia="仿宋"/>
                <w:spacing w:val="20"/>
                <w:sz w:val="24"/>
                <w:szCs w:val="24"/>
              </w:rPr>
              <w:t>4</w:t>
            </w:r>
          </w:p>
        </w:tc>
        <w:tc>
          <w:tcPr>
            <w:tcW w:w="764" w:type="dxa"/>
            <w:tcBorders>
              <w:bottom w:val="single" w:color="auto" w:sz="4" w:space="0"/>
            </w:tcBorders>
            <w:vAlign w:val="center"/>
          </w:tcPr>
          <w:p>
            <w:pPr>
              <w:widowControl/>
              <w:jc w:val="center"/>
              <w:rPr>
                <w:rFonts w:ascii="仿宋" w:hAnsi="仿宋" w:eastAsia="仿宋"/>
                <w:spacing w:val="20"/>
                <w:sz w:val="24"/>
                <w:szCs w:val="24"/>
              </w:rPr>
            </w:pPr>
          </w:p>
        </w:tc>
        <w:tc>
          <w:tcPr>
            <w:tcW w:w="791" w:type="dxa"/>
            <w:tcBorders>
              <w:bottom w:val="single" w:color="auto" w:sz="4" w:space="0"/>
            </w:tcBorders>
            <w:vAlign w:val="center"/>
          </w:tcPr>
          <w:p>
            <w:pPr>
              <w:widowControl/>
              <w:jc w:val="center"/>
              <w:rPr>
                <w:rFonts w:ascii="仿宋" w:hAnsi="仿宋" w:eastAsia="仿宋"/>
                <w:spacing w:val="20"/>
                <w:sz w:val="24"/>
                <w:szCs w:val="24"/>
              </w:rPr>
            </w:pPr>
          </w:p>
        </w:tc>
        <w:tc>
          <w:tcPr>
            <w:tcW w:w="736" w:type="dxa"/>
            <w:tcBorders>
              <w:bottom w:val="single" w:color="auto" w:sz="4" w:space="0"/>
            </w:tcBorders>
            <w:vAlign w:val="center"/>
          </w:tcPr>
          <w:p>
            <w:pPr>
              <w:widowControl/>
              <w:jc w:val="center"/>
              <w:rPr>
                <w:rFonts w:ascii="仿宋" w:hAnsi="仿宋" w:eastAsia="仿宋"/>
                <w:spacing w:val="20"/>
                <w:sz w:val="24"/>
                <w:szCs w:val="24"/>
              </w:rPr>
            </w:pPr>
          </w:p>
        </w:tc>
        <w:tc>
          <w:tcPr>
            <w:tcW w:w="723" w:type="dxa"/>
            <w:tcBorders>
              <w:bottom w:val="single" w:color="auto" w:sz="4" w:space="0"/>
            </w:tcBorders>
            <w:vAlign w:val="center"/>
          </w:tcPr>
          <w:p>
            <w:pPr>
              <w:widowControl/>
              <w:jc w:val="center"/>
              <w:rPr>
                <w:rFonts w:ascii="仿宋" w:hAnsi="仿宋" w:eastAsia="仿宋"/>
                <w:spacing w:val="20"/>
                <w:sz w:val="24"/>
                <w:szCs w:val="24"/>
              </w:rPr>
            </w:pPr>
          </w:p>
        </w:tc>
        <w:tc>
          <w:tcPr>
            <w:tcW w:w="730" w:type="dxa"/>
            <w:tcBorders>
              <w:bottom w:val="single" w:color="auto" w:sz="4" w:space="0"/>
            </w:tcBorders>
            <w:vAlign w:val="center"/>
          </w:tcPr>
          <w:p>
            <w:pPr>
              <w:widowControl/>
              <w:jc w:val="center"/>
              <w:rPr>
                <w:rFonts w:ascii="仿宋" w:hAnsi="仿宋" w:eastAsia="仿宋"/>
                <w:spacing w:val="20"/>
                <w:sz w:val="24"/>
                <w:szCs w:val="24"/>
              </w:rPr>
            </w:pPr>
          </w:p>
        </w:tc>
        <w:tc>
          <w:tcPr>
            <w:tcW w:w="843" w:type="dxa"/>
            <w:tcBorders>
              <w:bottom w:val="single" w:color="auto" w:sz="4" w:space="0"/>
            </w:tcBorders>
            <w:vAlign w:val="center"/>
          </w:tcPr>
          <w:p>
            <w:pPr>
              <w:widowControl/>
              <w:jc w:val="center"/>
              <w:rPr>
                <w:rFonts w:ascii="仿宋" w:hAnsi="仿宋" w:eastAsia="仿宋"/>
                <w:spacing w:val="20"/>
                <w:sz w:val="24"/>
                <w:szCs w:val="24"/>
              </w:rPr>
            </w:pPr>
          </w:p>
        </w:tc>
        <w:tc>
          <w:tcPr>
            <w:tcW w:w="1167" w:type="dxa"/>
            <w:tcBorders>
              <w:bottom w:val="single" w:color="auto" w:sz="4" w:space="0"/>
            </w:tcBorders>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w:t>
            </w:r>
          </w:p>
        </w:tc>
        <w:tc>
          <w:tcPr>
            <w:tcW w:w="716" w:type="dxa"/>
            <w:tcBorders>
              <w:bottom w:val="single" w:color="auto" w:sz="4" w:space="0"/>
            </w:tcBorders>
            <w:vAlign w:val="center"/>
          </w:tcPr>
          <w:p>
            <w:pPr>
              <w:widowControl/>
              <w:jc w:val="center"/>
              <w:rPr>
                <w:rFonts w:ascii="仿宋" w:hAnsi="仿宋" w:eastAsia="仿宋"/>
                <w:spacing w:val="20"/>
                <w:sz w:val="24"/>
                <w:szCs w:val="24"/>
              </w:rPr>
            </w:pPr>
            <w:r>
              <w:rPr>
                <w:rFonts w:hint="eastAsia" w:ascii="仿宋" w:hAnsi="仿宋" w:eastAsia="仿宋"/>
                <w:spacing w:val="20"/>
                <w:sz w:val="24"/>
                <w:szCs w:val="24"/>
              </w:rPr>
              <w:t>-</w:t>
            </w:r>
          </w:p>
        </w:tc>
      </w:tr>
    </w:tbl>
    <w:p>
      <w:pPr>
        <w:widowControl/>
        <w:spacing w:line="360" w:lineRule="auto"/>
        <w:rPr>
          <w:rFonts w:ascii="仿宋" w:hAnsi="仿宋" w:eastAsia="仿宋"/>
          <w:bCs/>
          <w:sz w:val="24"/>
          <w:szCs w:val="24"/>
        </w:rPr>
      </w:pPr>
      <w:r>
        <w:rPr>
          <w:rFonts w:hint="eastAsia" w:ascii="仿宋" w:hAnsi="仿宋" w:eastAsia="仿宋"/>
          <w:bCs/>
          <w:sz w:val="24"/>
          <w:szCs w:val="24"/>
        </w:rPr>
        <w:t>备注：</w:t>
      </w:r>
    </w:p>
    <w:p>
      <w:pPr>
        <w:widowControl/>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 xml:space="preserve"> </w:t>
      </w:r>
      <w:r>
        <w:rPr>
          <w:rFonts w:hint="eastAsia" w:ascii="仿宋" w:hAnsi="仿宋" w:eastAsia="仿宋"/>
          <w:sz w:val="24"/>
          <w:szCs w:val="24"/>
        </w:rPr>
        <w:t>总学时=理论学时+实践学时（实践教学含实验和上机教学），总学时=线上学时+线下学时；</w:t>
      </w:r>
    </w:p>
    <w:p>
      <w:pPr>
        <w:widowControl/>
        <w:rPr>
          <w:rFonts w:ascii="仿宋" w:hAnsi="仿宋" w:eastAsia="仿宋"/>
          <w:bCs/>
          <w:sz w:val="24"/>
          <w:szCs w:val="24"/>
        </w:rPr>
      </w:pPr>
      <w:r>
        <w:rPr>
          <w:rFonts w:hint="eastAsia" w:ascii="仿宋" w:hAnsi="仿宋" w:eastAsia="仿宋"/>
          <w:sz w:val="24"/>
          <w:szCs w:val="24"/>
        </w:rPr>
        <w:t>2.</w:t>
      </w:r>
      <w:r>
        <w:rPr>
          <w:rFonts w:ascii="仿宋" w:hAnsi="仿宋" w:eastAsia="仿宋"/>
          <w:sz w:val="24"/>
          <w:szCs w:val="24"/>
        </w:rPr>
        <w:t xml:space="preserve"> </w:t>
      </w:r>
      <w:r>
        <w:rPr>
          <w:rFonts w:hint="eastAsia" w:ascii="仿宋" w:hAnsi="仿宋" w:eastAsia="仿宋"/>
          <w:sz w:val="24"/>
          <w:szCs w:val="24"/>
        </w:rPr>
        <w:t>课程代码由教务处统一编制；“开课学期”根据</w:t>
      </w:r>
      <w:r>
        <w:rPr>
          <w:rFonts w:ascii="仿宋" w:hAnsi="仿宋" w:eastAsia="仿宋"/>
          <w:sz w:val="24"/>
          <w:szCs w:val="24"/>
        </w:rPr>
        <w:t>4</w:t>
      </w:r>
      <w:r>
        <w:rPr>
          <w:rFonts w:hint="eastAsia" w:ascii="仿宋" w:hAnsi="仿宋" w:eastAsia="仿宋"/>
          <w:sz w:val="24"/>
          <w:szCs w:val="24"/>
        </w:rPr>
        <w:t>年制内实际开课学期填写1-1、1-2、2-1、2-2、3</w:t>
      </w:r>
      <w:r>
        <w:rPr>
          <w:rFonts w:ascii="仿宋" w:hAnsi="仿宋" w:eastAsia="仿宋"/>
          <w:sz w:val="24"/>
          <w:szCs w:val="24"/>
        </w:rPr>
        <w:t>-1</w:t>
      </w:r>
      <w:r>
        <w:rPr>
          <w:rFonts w:hint="eastAsia" w:ascii="仿宋" w:hAnsi="仿宋" w:eastAsia="仿宋"/>
          <w:sz w:val="24"/>
          <w:szCs w:val="24"/>
        </w:rPr>
        <w:t>、3</w:t>
      </w:r>
      <w:r>
        <w:rPr>
          <w:rFonts w:ascii="仿宋" w:hAnsi="仿宋" w:eastAsia="仿宋"/>
          <w:sz w:val="24"/>
          <w:szCs w:val="24"/>
        </w:rPr>
        <w:t>-2</w:t>
      </w:r>
      <w:r>
        <w:rPr>
          <w:rFonts w:hint="eastAsia" w:ascii="仿宋" w:hAnsi="仿宋" w:eastAsia="仿宋"/>
          <w:sz w:val="24"/>
          <w:szCs w:val="24"/>
        </w:rPr>
        <w:t>、4</w:t>
      </w:r>
      <w:r>
        <w:rPr>
          <w:rFonts w:ascii="仿宋" w:hAnsi="仿宋" w:eastAsia="仿宋"/>
          <w:sz w:val="24"/>
          <w:szCs w:val="24"/>
        </w:rPr>
        <w:t>-1</w:t>
      </w:r>
      <w:r>
        <w:rPr>
          <w:rFonts w:hint="eastAsia" w:ascii="仿宋" w:hAnsi="仿宋" w:eastAsia="仿宋"/>
          <w:sz w:val="24"/>
          <w:szCs w:val="24"/>
        </w:rPr>
        <w:t>、4</w:t>
      </w:r>
      <w:r>
        <w:rPr>
          <w:rFonts w:ascii="仿宋" w:hAnsi="仿宋" w:eastAsia="仿宋"/>
          <w:sz w:val="24"/>
          <w:szCs w:val="24"/>
        </w:rPr>
        <w:t>-2</w:t>
      </w:r>
      <w:r>
        <w:rPr>
          <w:rFonts w:hint="eastAsia" w:ascii="仿宋" w:hAnsi="仿宋" w:eastAsia="仿宋"/>
          <w:sz w:val="24"/>
          <w:szCs w:val="24"/>
        </w:rPr>
        <w:t>填写，“考核方式”填写考试、考查</w:t>
      </w:r>
      <w:r>
        <w:rPr>
          <w:rFonts w:hint="eastAsia" w:ascii="仿宋" w:hAnsi="仿宋" w:eastAsia="仿宋" w:cs="宋体"/>
          <w:sz w:val="24"/>
          <w:szCs w:val="24"/>
        </w:rPr>
        <w:t>；</w:t>
      </w:r>
    </w:p>
    <w:p>
      <w:pPr>
        <w:widowControl/>
        <w:rPr>
          <w:rFonts w:ascii="仿宋" w:hAnsi="仿宋" w:eastAsia="仿宋"/>
          <w:bCs/>
          <w:sz w:val="24"/>
          <w:szCs w:val="24"/>
        </w:rPr>
      </w:pPr>
      <w:r>
        <w:rPr>
          <w:rFonts w:hint="eastAsia" w:ascii="仿宋" w:hAnsi="仿宋" w:eastAsia="仿宋"/>
          <w:sz w:val="24"/>
          <w:szCs w:val="24"/>
        </w:rPr>
        <w:t>3.</w:t>
      </w:r>
      <w:r>
        <w:rPr>
          <w:rFonts w:ascii="仿宋" w:hAnsi="仿宋" w:eastAsia="仿宋"/>
          <w:sz w:val="24"/>
          <w:szCs w:val="24"/>
        </w:rPr>
        <w:t xml:space="preserve"> </w:t>
      </w:r>
      <w:r>
        <w:rPr>
          <w:rFonts w:hint="eastAsia" w:ascii="仿宋" w:hAnsi="仿宋" w:eastAsia="仿宋"/>
          <w:sz w:val="24"/>
          <w:szCs w:val="24"/>
        </w:rPr>
        <w:t>开课单位填写任课教师所在部门或单位。</w:t>
      </w:r>
    </w:p>
    <w:p>
      <w:pPr>
        <w:widowControl/>
        <w:spacing w:line="360" w:lineRule="auto"/>
        <w:ind w:firstLine="448" w:firstLineChars="187"/>
        <w:jc w:val="left"/>
        <w:rPr>
          <w:rFonts w:ascii="仿宋" w:hAnsi="仿宋" w:eastAsia="仿宋" w:cs="黑体"/>
          <w:b/>
          <w:bCs/>
          <w:sz w:val="24"/>
          <w:szCs w:val="24"/>
        </w:rPr>
      </w:pPr>
      <w:r>
        <w:rPr>
          <w:rFonts w:ascii="仿宋" w:hAnsi="仿宋" w:eastAsia="仿宋"/>
          <w:sz w:val="24"/>
          <w:szCs w:val="24"/>
        </w:rPr>
        <w:br w:type="page"/>
      </w:r>
      <w:r>
        <w:rPr>
          <w:rFonts w:hint="eastAsia" w:ascii="仿宋" w:hAnsi="仿宋" w:eastAsia="仿宋" w:cs="黑体"/>
          <w:b/>
          <w:bCs/>
          <w:sz w:val="24"/>
          <w:szCs w:val="24"/>
        </w:rPr>
        <w:t>六、课程简介</w:t>
      </w:r>
    </w:p>
    <w:p>
      <w:pPr>
        <w:widowControl/>
        <w:spacing w:line="400" w:lineRule="exact"/>
        <w:ind w:firstLine="480" w:firstLineChars="200"/>
        <w:rPr>
          <w:rFonts w:ascii="仿宋" w:hAnsi="仿宋" w:eastAsia="仿宋"/>
          <w:sz w:val="24"/>
          <w:szCs w:val="24"/>
        </w:rPr>
      </w:pPr>
      <w:r>
        <w:rPr>
          <w:rFonts w:hint="eastAsia" w:ascii="仿宋" w:hAnsi="仿宋" w:eastAsia="仿宋"/>
          <w:sz w:val="24"/>
          <w:szCs w:val="24"/>
        </w:rPr>
        <w:t>对本微专业拟开设的课程进行简要介绍，包括课程主要内容、课程教学设计等，每门课300字以内。</w:t>
      </w:r>
    </w:p>
    <w:tbl>
      <w:tblPr>
        <w:tblStyle w:val="4"/>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118"/>
        <w:gridCol w:w="5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110" w:type="dxa"/>
            <w:tcBorders>
              <w:top w:val="single" w:color="auto" w:sz="4" w:space="0"/>
            </w:tcBorders>
            <w:vAlign w:val="center"/>
          </w:tcPr>
          <w:p>
            <w:pPr>
              <w:widowControl/>
              <w:jc w:val="center"/>
              <w:rPr>
                <w:rFonts w:ascii="仿宋" w:hAnsi="仿宋" w:eastAsia="仿宋" w:cs="黑体"/>
                <w:b/>
                <w:spacing w:val="20"/>
                <w:sz w:val="24"/>
                <w:szCs w:val="24"/>
              </w:rPr>
            </w:pPr>
            <w:r>
              <w:rPr>
                <w:rFonts w:hint="eastAsia" w:ascii="仿宋" w:hAnsi="仿宋" w:eastAsia="仿宋" w:cs="黑体"/>
                <w:b/>
                <w:spacing w:val="20"/>
                <w:sz w:val="24"/>
                <w:szCs w:val="24"/>
              </w:rPr>
              <w:t>序号</w:t>
            </w:r>
          </w:p>
        </w:tc>
        <w:tc>
          <w:tcPr>
            <w:tcW w:w="2118" w:type="dxa"/>
            <w:tcBorders>
              <w:top w:val="single" w:color="auto" w:sz="4" w:space="0"/>
            </w:tcBorders>
            <w:vAlign w:val="center"/>
          </w:tcPr>
          <w:p>
            <w:pPr>
              <w:widowControl/>
              <w:jc w:val="center"/>
              <w:rPr>
                <w:rFonts w:ascii="仿宋" w:hAnsi="仿宋" w:eastAsia="仿宋" w:cs="黑体"/>
                <w:b/>
                <w:spacing w:val="20"/>
                <w:sz w:val="24"/>
                <w:szCs w:val="24"/>
              </w:rPr>
            </w:pPr>
            <w:r>
              <w:rPr>
                <w:rFonts w:hint="eastAsia" w:ascii="仿宋" w:hAnsi="仿宋" w:eastAsia="仿宋" w:cs="黑体"/>
                <w:b/>
                <w:spacing w:val="20"/>
                <w:sz w:val="24"/>
                <w:szCs w:val="24"/>
              </w:rPr>
              <w:t>课程名称</w:t>
            </w:r>
          </w:p>
        </w:tc>
        <w:tc>
          <w:tcPr>
            <w:tcW w:w="5922" w:type="dxa"/>
            <w:tcBorders>
              <w:top w:val="single" w:color="auto" w:sz="4" w:space="0"/>
              <w:bottom w:val="single" w:color="auto" w:sz="4" w:space="0"/>
            </w:tcBorders>
            <w:vAlign w:val="center"/>
          </w:tcPr>
          <w:p>
            <w:pPr>
              <w:widowControl/>
              <w:jc w:val="center"/>
              <w:rPr>
                <w:rFonts w:ascii="仿宋" w:hAnsi="仿宋" w:eastAsia="仿宋" w:cs="黑体"/>
                <w:b/>
                <w:bCs/>
                <w:sz w:val="24"/>
                <w:szCs w:val="24"/>
              </w:rPr>
            </w:pPr>
            <w:r>
              <w:rPr>
                <w:rFonts w:hint="eastAsia" w:ascii="仿宋" w:hAnsi="仿宋" w:eastAsia="仿宋" w:cs="黑体"/>
                <w:b/>
                <w:spacing w:val="20"/>
                <w:sz w:val="24"/>
                <w:szCs w:val="24"/>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9" w:hRule="exact"/>
          <w:jc w:val="center"/>
        </w:trPr>
        <w:tc>
          <w:tcPr>
            <w:tcW w:w="1110" w:type="dxa"/>
            <w:vAlign w:val="center"/>
          </w:tcPr>
          <w:p>
            <w:pPr>
              <w:widowControl/>
              <w:jc w:val="center"/>
              <w:rPr>
                <w:rFonts w:ascii="仿宋" w:hAnsi="仿宋" w:eastAsia="仿宋"/>
                <w:bCs/>
                <w:sz w:val="24"/>
                <w:szCs w:val="24"/>
              </w:rPr>
            </w:pPr>
            <w:r>
              <w:rPr>
                <w:rFonts w:hint="eastAsia" w:ascii="仿宋" w:hAnsi="仿宋" w:eastAsia="仿宋"/>
                <w:bCs/>
                <w:sz w:val="24"/>
                <w:szCs w:val="24"/>
              </w:rPr>
              <w:t>1</w:t>
            </w:r>
          </w:p>
        </w:tc>
        <w:tc>
          <w:tcPr>
            <w:tcW w:w="2118" w:type="dxa"/>
            <w:vAlign w:val="center"/>
          </w:tcPr>
          <w:p>
            <w:pPr>
              <w:widowControl/>
              <w:jc w:val="center"/>
              <w:rPr>
                <w:rFonts w:ascii="仿宋" w:hAnsi="仿宋" w:eastAsia="仿宋"/>
                <w:bCs/>
                <w:sz w:val="24"/>
                <w:szCs w:val="24"/>
              </w:rPr>
            </w:pPr>
            <w:r>
              <w:rPr>
                <w:rFonts w:hint="eastAsia" w:ascii="仿宋" w:hAnsi="仿宋" w:eastAsia="仿宋"/>
                <w:bCs/>
                <w:sz w:val="24"/>
                <w:szCs w:val="24"/>
              </w:rPr>
              <w:t>互联网公司治理</w:t>
            </w:r>
          </w:p>
          <w:p>
            <w:pPr>
              <w:widowControl/>
              <w:jc w:val="center"/>
              <w:rPr>
                <w:rFonts w:ascii="仿宋" w:hAnsi="仿宋" w:eastAsia="仿宋"/>
                <w:bCs/>
                <w:sz w:val="24"/>
                <w:szCs w:val="24"/>
              </w:rPr>
            </w:pPr>
            <w:r>
              <w:rPr>
                <w:rFonts w:hint="eastAsia" w:ascii="仿宋" w:hAnsi="仿宋" w:eastAsia="仿宋"/>
                <w:bCs/>
                <w:sz w:val="24"/>
                <w:szCs w:val="24"/>
              </w:rPr>
              <w:t>与风险防控</w:t>
            </w:r>
          </w:p>
        </w:tc>
        <w:tc>
          <w:tcPr>
            <w:tcW w:w="5922" w:type="dxa"/>
            <w:tcBorders>
              <w:top w:val="single" w:color="auto" w:sz="4" w:space="0"/>
              <w:bottom w:val="single" w:color="auto" w:sz="4" w:space="0"/>
            </w:tcBorders>
            <w:vAlign w:val="center"/>
          </w:tcPr>
          <w:p>
            <w:pPr>
              <w:widowControl/>
              <w:ind w:firstLine="480" w:firstLineChars="200"/>
              <w:jc w:val="left"/>
              <w:rPr>
                <w:rFonts w:ascii="仿宋" w:hAnsi="仿宋" w:eastAsia="仿宋"/>
                <w:bCs/>
                <w:sz w:val="24"/>
                <w:szCs w:val="24"/>
              </w:rPr>
            </w:pPr>
            <w:r>
              <w:rPr>
                <w:rFonts w:hint="eastAsia" w:ascii="仿宋" w:hAnsi="仿宋" w:eastAsia="仿宋"/>
                <w:bCs/>
                <w:sz w:val="24"/>
                <w:szCs w:val="24"/>
              </w:rPr>
              <w:t>互联网的迅猛发展带来了经济形态和商业模式的巨大变化，为公司治理带来了新的机遇与挑战。本课程融合法学多学科领域知识和技能，聚焦互联网背景下公司法的发展与变革，新型公司治理与传统公司治理法律问题的特征比较，互联网公司股权架构和三会制度，互联网公司的传承与发展，互联网企业自治规则，互联网科技风险与法律防范，互联网法律法规、合规业务和风险控制的理论学习及案例分析。并结合典型案例，详解讲解互联网企业可能面临的法律风险，以及应当如何通过合规建设实现风险防控。引导学生通过课程讲授、自学、阅读书籍、参加实践等多种方式，提高互联网公司治理与风险防控的理论水平和实践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2" w:hRule="exact"/>
          <w:jc w:val="center"/>
        </w:trPr>
        <w:tc>
          <w:tcPr>
            <w:tcW w:w="1110" w:type="dxa"/>
            <w:vAlign w:val="center"/>
          </w:tcPr>
          <w:p>
            <w:pPr>
              <w:widowControl/>
              <w:jc w:val="center"/>
              <w:rPr>
                <w:rFonts w:ascii="仿宋" w:hAnsi="仿宋" w:eastAsia="仿宋"/>
                <w:bCs/>
                <w:sz w:val="24"/>
                <w:szCs w:val="24"/>
              </w:rPr>
            </w:pPr>
            <w:r>
              <w:rPr>
                <w:rFonts w:hint="eastAsia" w:ascii="仿宋" w:hAnsi="仿宋" w:eastAsia="仿宋"/>
                <w:bCs/>
                <w:sz w:val="24"/>
                <w:szCs w:val="24"/>
              </w:rPr>
              <w:t>2</w:t>
            </w:r>
          </w:p>
        </w:tc>
        <w:tc>
          <w:tcPr>
            <w:tcW w:w="2118" w:type="dxa"/>
            <w:vAlign w:val="center"/>
          </w:tcPr>
          <w:p>
            <w:pPr>
              <w:widowControl/>
              <w:jc w:val="center"/>
              <w:rPr>
                <w:rFonts w:ascii="仿宋" w:hAnsi="仿宋" w:eastAsia="仿宋"/>
                <w:bCs/>
                <w:sz w:val="24"/>
                <w:szCs w:val="24"/>
              </w:rPr>
            </w:pPr>
            <w:r>
              <w:rPr>
                <w:rFonts w:hint="eastAsia" w:ascii="仿宋" w:hAnsi="仿宋" w:eastAsia="仿宋"/>
                <w:bCs/>
                <w:sz w:val="24"/>
                <w:szCs w:val="24"/>
              </w:rPr>
              <w:t>电子商务法</w:t>
            </w:r>
          </w:p>
        </w:tc>
        <w:tc>
          <w:tcPr>
            <w:tcW w:w="5922" w:type="dxa"/>
            <w:tcBorders>
              <w:top w:val="single" w:color="auto" w:sz="4" w:space="0"/>
              <w:bottom w:val="single" w:color="auto" w:sz="4" w:space="0"/>
            </w:tcBorders>
            <w:vAlign w:val="center"/>
          </w:tcPr>
          <w:p>
            <w:pPr>
              <w:widowControl/>
              <w:ind w:firstLine="480" w:firstLineChars="200"/>
              <w:jc w:val="left"/>
              <w:rPr>
                <w:rFonts w:ascii="仿宋" w:hAnsi="仿宋" w:eastAsia="仿宋"/>
                <w:bCs/>
                <w:sz w:val="24"/>
                <w:szCs w:val="24"/>
              </w:rPr>
            </w:pPr>
            <w:r>
              <w:rPr>
                <w:rFonts w:hint="eastAsia" w:ascii="仿宋" w:hAnsi="仿宋" w:eastAsia="仿宋"/>
                <w:bCs/>
                <w:sz w:val="24"/>
                <w:szCs w:val="24"/>
              </w:rPr>
              <w:t>课程是为实现法学教育的时代性、实用性而开设，以培养学生掌握电子商务法的基本理论知识和解决实际问题的应用能力而设置的一门专业提升课。基于对民法总论、合同法、侵权法等基础法律知识的学习，本门课程的教学，将结合互联网平台企业的发展特点与趋势，使学生能够掌握与电子商务有关的法律知识，了解电子商务活动中各类主体的行为规范及法律关系，学会分析、应对并处理电子商务平台中的相关法律问题，探索法律如何更好应对互联网信息技术的进步与革新。教学过程中，课程将以目前国内外相关领域的立法为主要内容，结合司法实践中的实务案例，使学生能够掌握法律检索、法理分析、法条理解、司法应用等诸多技能。</w:t>
            </w:r>
          </w:p>
          <w:p>
            <w:pPr>
              <w:widowControl/>
              <w:jc w:val="left"/>
              <w:rPr>
                <w:rFonts w:ascii="仿宋" w:hAnsi="仿宋" w:eastAsia="仿宋"/>
                <w:bCs/>
                <w:sz w:val="24"/>
                <w:szCs w:val="24"/>
              </w:rPr>
            </w:pPr>
          </w:p>
          <w:p>
            <w:pPr>
              <w:widowControl/>
              <w:jc w:val="left"/>
              <w:rPr>
                <w:rFonts w:ascii="仿宋" w:hAnsi="仿宋" w:eastAsia="仿宋"/>
                <w:bCs/>
                <w:sz w:val="24"/>
                <w:szCs w:val="24"/>
              </w:rPr>
            </w:pPr>
          </w:p>
          <w:p>
            <w:pPr>
              <w:widowControl/>
              <w:jc w:val="left"/>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0" w:hRule="exact"/>
          <w:jc w:val="center"/>
        </w:trPr>
        <w:tc>
          <w:tcPr>
            <w:tcW w:w="1110" w:type="dxa"/>
            <w:vAlign w:val="center"/>
          </w:tcPr>
          <w:p>
            <w:pPr>
              <w:widowControl/>
              <w:jc w:val="center"/>
              <w:rPr>
                <w:rFonts w:ascii="仿宋" w:hAnsi="仿宋" w:eastAsia="仿宋"/>
                <w:bCs/>
                <w:sz w:val="24"/>
                <w:szCs w:val="24"/>
              </w:rPr>
            </w:pPr>
            <w:r>
              <w:rPr>
                <w:rFonts w:hint="eastAsia" w:ascii="仿宋" w:hAnsi="仿宋" w:eastAsia="仿宋"/>
                <w:bCs/>
                <w:sz w:val="24"/>
                <w:szCs w:val="24"/>
              </w:rPr>
              <w:t>3</w:t>
            </w:r>
          </w:p>
        </w:tc>
        <w:tc>
          <w:tcPr>
            <w:tcW w:w="2118" w:type="dxa"/>
            <w:vAlign w:val="center"/>
          </w:tcPr>
          <w:p>
            <w:pPr>
              <w:widowControl/>
              <w:jc w:val="center"/>
              <w:rPr>
                <w:rFonts w:ascii="仿宋" w:hAnsi="仿宋" w:eastAsia="仿宋"/>
                <w:bCs/>
                <w:sz w:val="24"/>
                <w:szCs w:val="24"/>
              </w:rPr>
            </w:pPr>
            <w:r>
              <w:rPr>
                <w:rFonts w:hint="eastAsia" w:ascii="仿宋" w:hAnsi="仿宋" w:eastAsia="仿宋"/>
                <w:bCs/>
                <w:sz w:val="24"/>
                <w:szCs w:val="24"/>
              </w:rPr>
              <w:t>网络时代知识</w:t>
            </w:r>
          </w:p>
          <w:p>
            <w:pPr>
              <w:widowControl/>
              <w:jc w:val="center"/>
              <w:rPr>
                <w:rFonts w:ascii="仿宋" w:hAnsi="仿宋" w:eastAsia="仿宋"/>
                <w:bCs/>
                <w:sz w:val="24"/>
                <w:szCs w:val="24"/>
              </w:rPr>
            </w:pPr>
            <w:r>
              <w:rPr>
                <w:rFonts w:hint="eastAsia" w:ascii="仿宋" w:hAnsi="仿宋" w:eastAsia="仿宋"/>
                <w:bCs/>
                <w:sz w:val="24"/>
                <w:szCs w:val="24"/>
              </w:rPr>
              <w:t>产权典型案例</w:t>
            </w:r>
          </w:p>
        </w:tc>
        <w:tc>
          <w:tcPr>
            <w:tcW w:w="5922" w:type="dxa"/>
            <w:tcBorders>
              <w:top w:val="single" w:color="auto" w:sz="4" w:space="0"/>
              <w:bottom w:val="single" w:color="auto" w:sz="4" w:space="0"/>
            </w:tcBorders>
            <w:vAlign w:val="center"/>
          </w:tcPr>
          <w:p>
            <w:pPr>
              <w:ind w:firstLine="480" w:firstLineChars="200"/>
              <w:rPr>
                <w:rFonts w:ascii="仿宋" w:hAnsi="仿宋" w:eastAsia="仿宋"/>
                <w:bCs/>
                <w:sz w:val="24"/>
                <w:szCs w:val="24"/>
              </w:rPr>
            </w:pPr>
            <w:r>
              <w:rPr>
                <w:rFonts w:hint="eastAsia" w:ascii="仿宋" w:hAnsi="仿宋" w:eastAsia="仿宋"/>
                <w:bCs/>
                <w:sz w:val="24"/>
                <w:szCs w:val="24"/>
              </w:rPr>
              <w:t>网络时代的知识产权法回应数字网络技术的发展，它包括传统的知识产权，如著作权、专利权、商标权等，也包括与网络相关的知识产权，如数据库、计算机软件、大模型训练等。知识产权保护是互联网发展的基础，缺乏知识产权保护的互联网将陷入混乱并阻碍发展，互联网企业发展中知识产权保护至关重要。本课程是一门涉及数字网络技术和知识产权法的综合性课程，为学生提供大量的前沿观点和国内外案例，特别是通过对典型案例的介绍和研讨，旨在让学生了解和掌握网络时代下的各种知识产权法律知识和实务操作，为未来的职业发展做好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1" w:hRule="exact"/>
          <w:jc w:val="center"/>
        </w:trPr>
        <w:tc>
          <w:tcPr>
            <w:tcW w:w="1110" w:type="dxa"/>
            <w:vAlign w:val="center"/>
          </w:tcPr>
          <w:p>
            <w:pPr>
              <w:widowControl/>
              <w:jc w:val="center"/>
              <w:rPr>
                <w:rFonts w:ascii="仿宋" w:hAnsi="仿宋" w:eastAsia="仿宋"/>
                <w:bCs/>
                <w:sz w:val="24"/>
                <w:szCs w:val="24"/>
              </w:rPr>
            </w:pPr>
            <w:r>
              <w:rPr>
                <w:rFonts w:hint="eastAsia" w:ascii="仿宋" w:hAnsi="仿宋" w:eastAsia="仿宋"/>
                <w:bCs/>
                <w:sz w:val="24"/>
                <w:szCs w:val="24"/>
              </w:rPr>
              <w:t>4</w:t>
            </w:r>
          </w:p>
        </w:tc>
        <w:tc>
          <w:tcPr>
            <w:tcW w:w="2118" w:type="dxa"/>
            <w:vAlign w:val="center"/>
          </w:tcPr>
          <w:p>
            <w:pPr>
              <w:widowControl/>
              <w:jc w:val="center"/>
              <w:rPr>
                <w:rFonts w:ascii="仿宋" w:hAnsi="仿宋" w:eastAsia="仿宋"/>
                <w:bCs/>
                <w:sz w:val="24"/>
                <w:szCs w:val="24"/>
              </w:rPr>
            </w:pPr>
            <w:r>
              <w:rPr>
                <w:rFonts w:hint="eastAsia" w:ascii="仿宋" w:hAnsi="仿宋" w:eastAsia="仿宋"/>
                <w:bCs/>
                <w:sz w:val="24"/>
                <w:szCs w:val="24"/>
              </w:rPr>
              <w:t>互联网金融</w:t>
            </w:r>
          </w:p>
          <w:p>
            <w:pPr>
              <w:widowControl/>
              <w:jc w:val="center"/>
              <w:rPr>
                <w:rFonts w:ascii="仿宋" w:hAnsi="仿宋" w:eastAsia="仿宋"/>
                <w:bCs/>
                <w:sz w:val="24"/>
                <w:szCs w:val="24"/>
              </w:rPr>
            </w:pPr>
            <w:r>
              <w:rPr>
                <w:rFonts w:hint="eastAsia" w:ascii="仿宋" w:hAnsi="仿宋" w:eastAsia="仿宋"/>
                <w:bCs/>
                <w:sz w:val="24"/>
                <w:szCs w:val="24"/>
              </w:rPr>
              <w:t>理论与实践</w:t>
            </w:r>
          </w:p>
        </w:tc>
        <w:tc>
          <w:tcPr>
            <w:tcW w:w="5922" w:type="dxa"/>
            <w:tcBorders>
              <w:top w:val="single" w:color="auto" w:sz="4" w:space="0"/>
              <w:bottom w:val="single" w:color="auto" w:sz="4" w:space="0"/>
            </w:tcBorders>
            <w:vAlign w:val="center"/>
          </w:tcPr>
          <w:p>
            <w:pPr>
              <w:widowControl/>
              <w:ind w:firstLine="480" w:firstLineChars="200"/>
              <w:jc w:val="left"/>
              <w:rPr>
                <w:rFonts w:ascii="仿宋" w:hAnsi="仿宋" w:eastAsia="仿宋"/>
                <w:bCs/>
                <w:sz w:val="24"/>
                <w:szCs w:val="24"/>
              </w:rPr>
            </w:pPr>
            <w:r>
              <w:rPr>
                <w:rFonts w:hint="eastAsia" w:ascii="仿宋" w:hAnsi="仿宋" w:eastAsia="仿宋"/>
                <w:bCs/>
                <w:sz w:val="24"/>
                <w:szCs w:val="24"/>
              </w:rPr>
              <w:t>互联网与金融业的深度融合，引领社会进入互联网金融新时代。互联网金融在促进商业发展和社会进步的同时，也带来诸多法律挑战。课程以典型互联网金融服务所涉及的法律问题为研究对象，主要包括商业逻辑、民商法基础和风险监管三部分。课程不仅涉及经济法学与民商法学的交叉应用，而且涉及法学与金融学的交叉应用。课程旨在帮助学生系统掌握互联网金融法学原理、互联网金融业务法律关系、互联网金融风险监管等知识，锻炼学生运用金融法律知识解决互联网金融实务问题的能力，培养既懂金融，又懂法律的复合型金融法律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8" w:hRule="exact"/>
          <w:jc w:val="center"/>
        </w:trPr>
        <w:tc>
          <w:tcPr>
            <w:tcW w:w="1110" w:type="dxa"/>
            <w:vAlign w:val="center"/>
          </w:tcPr>
          <w:p>
            <w:pPr>
              <w:widowControl/>
              <w:jc w:val="center"/>
              <w:rPr>
                <w:rFonts w:ascii="仿宋" w:hAnsi="仿宋" w:eastAsia="仿宋"/>
                <w:bCs/>
                <w:sz w:val="24"/>
                <w:szCs w:val="24"/>
              </w:rPr>
            </w:pPr>
            <w:r>
              <w:rPr>
                <w:rFonts w:hint="eastAsia" w:ascii="仿宋" w:hAnsi="仿宋" w:eastAsia="仿宋"/>
                <w:bCs/>
                <w:sz w:val="24"/>
                <w:szCs w:val="24"/>
              </w:rPr>
              <w:t>5</w:t>
            </w:r>
          </w:p>
        </w:tc>
        <w:tc>
          <w:tcPr>
            <w:tcW w:w="2118" w:type="dxa"/>
            <w:vAlign w:val="center"/>
          </w:tcPr>
          <w:p>
            <w:pPr>
              <w:widowControl/>
              <w:jc w:val="center"/>
              <w:rPr>
                <w:rFonts w:ascii="仿宋" w:hAnsi="仿宋" w:eastAsia="仿宋"/>
                <w:bCs/>
                <w:sz w:val="24"/>
                <w:szCs w:val="24"/>
              </w:rPr>
            </w:pPr>
            <w:r>
              <w:rPr>
                <w:rFonts w:hint="eastAsia" w:ascii="仿宋" w:hAnsi="仿宋" w:eastAsia="仿宋"/>
                <w:bCs/>
                <w:sz w:val="24"/>
                <w:szCs w:val="24"/>
              </w:rPr>
              <w:t>互联网消费者与</w:t>
            </w:r>
          </w:p>
          <w:p>
            <w:pPr>
              <w:widowControl/>
              <w:jc w:val="center"/>
              <w:rPr>
                <w:rFonts w:ascii="仿宋" w:hAnsi="仿宋" w:eastAsia="仿宋"/>
                <w:bCs/>
                <w:sz w:val="24"/>
                <w:szCs w:val="24"/>
              </w:rPr>
            </w:pPr>
            <w:r>
              <w:rPr>
                <w:rFonts w:hint="eastAsia" w:ascii="仿宋" w:hAnsi="仿宋" w:eastAsia="仿宋"/>
                <w:bCs/>
                <w:sz w:val="24"/>
                <w:szCs w:val="24"/>
              </w:rPr>
              <w:t>劳动者权益保护</w:t>
            </w:r>
          </w:p>
        </w:tc>
        <w:tc>
          <w:tcPr>
            <w:tcW w:w="5922" w:type="dxa"/>
            <w:tcBorders>
              <w:top w:val="single" w:color="auto" w:sz="4" w:space="0"/>
              <w:bottom w:val="single" w:color="auto" w:sz="4" w:space="0"/>
            </w:tcBorders>
            <w:vAlign w:val="center"/>
          </w:tcPr>
          <w:p>
            <w:pPr>
              <w:widowControl/>
              <w:ind w:firstLine="480" w:firstLineChars="200"/>
              <w:jc w:val="left"/>
              <w:rPr>
                <w:rFonts w:ascii="仿宋" w:hAnsi="仿宋" w:eastAsia="仿宋"/>
                <w:bCs/>
                <w:sz w:val="24"/>
                <w:szCs w:val="24"/>
              </w:rPr>
            </w:pPr>
            <w:r>
              <w:rPr>
                <w:rFonts w:hint="eastAsia" w:ascii="仿宋" w:hAnsi="仿宋" w:eastAsia="仿宋"/>
                <w:bCs/>
                <w:sz w:val="24"/>
                <w:szCs w:val="24"/>
              </w:rPr>
              <w:t>互联网的快速发展，使得传统用工关系、消费者权益保护等均发生根本性变化，需要我们结合新形势、新变化予以重新界定和保护。本课程教学内容如下：第一，背景知识，讲授互联网平台暨“机器学习算法”主导下新形态“消费关系”和“雇佣关系”的形成。第二，基础理论，讲授劳动者及消费者的法律权利、法定利益理论。第三，具体权益界定、分类与保护问题。分别介绍平台劳动者、消费者权益的立法现状、实现困境及维护路径等。课程坚持“固本培基、拥抱数智、激发创新”理念，引导学生深入学习主体权益理论，体会数智技术与权益制度的互动。以课堂教学、多媒体教学为主导，兼顾社会调查与跨科交流。</w:t>
            </w:r>
          </w:p>
          <w:p>
            <w:pPr>
              <w:widowControl/>
              <w:jc w:val="left"/>
              <w:rPr>
                <w:rFonts w:ascii="仿宋" w:hAnsi="仿宋" w:eastAsia="仿宋"/>
                <w:bCs/>
                <w:sz w:val="24"/>
                <w:szCs w:val="24"/>
              </w:rPr>
            </w:pPr>
          </w:p>
          <w:p>
            <w:pPr>
              <w:widowControl/>
              <w:jc w:val="left"/>
              <w:rPr>
                <w:rFonts w:ascii="仿宋" w:hAnsi="仿宋" w:eastAsia="仿宋"/>
                <w:bCs/>
                <w:sz w:val="24"/>
                <w:szCs w:val="24"/>
              </w:rPr>
            </w:pPr>
          </w:p>
          <w:p>
            <w:pPr>
              <w:widowControl/>
              <w:jc w:val="left"/>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4" w:hRule="exact"/>
          <w:jc w:val="center"/>
        </w:trPr>
        <w:tc>
          <w:tcPr>
            <w:tcW w:w="1110" w:type="dxa"/>
            <w:vAlign w:val="center"/>
          </w:tcPr>
          <w:p>
            <w:pPr>
              <w:widowControl/>
              <w:jc w:val="center"/>
              <w:rPr>
                <w:rFonts w:ascii="仿宋" w:hAnsi="仿宋" w:eastAsia="仿宋"/>
                <w:bCs/>
                <w:sz w:val="24"/>
                <w:szCs w:val="24"/>
              </w:rPr>
            </w:pPr>
            <w:r>
              <w:rPr>
                <w:rFonts w:hint="eastAsia" w:ascii="仿宋" w:hAnsi="仿宋" w:eastAsia="仿宋"/>
                <w:bCs/>
                <w:sz w:val="24"/>
                <w:szCs w:val="24"/>
              </w:rPr>
              <w:t>6</w:t>
            </w:r>
          </w:p>
        </w:tc>
        <w:tc>
          <w:tcPr>
            <w:tcW w:w="2118" w:type="dxa"/>
            <w:vAlign w:val="center"/>
          </w:tcPr>
          <w:p>
            <w:pPr>
              <w:widowControl/>
              <w:jc w:val="center"/>
              <w:rPr>
                <w:rFonts w:ascii="仿宋" w:hAnsi="仿宋" w:eastAsia="仿宋"/>
                <w:bCs/>
                <w:sz w:val="24"/>
                <w:szCs w:val="24"/>
              </w:rPr>
            </w:pPr>
            <w:r>
              <w:rPr>
                <w:rFonts w:hint="eastAsia" w:ascii="仿宋" w:hAnsi="仿宋" w:eastAsia="仿宋"/>
                <w:bCs/>
                <w:sz w:val="24"/>
                <w:szCs w:val="24"/>
              </w:rPr>
              <w:t>互联网纠纷解决机制</w:t>
            </w:r>
          </w:p>
        </w:tc>
        <w:tc>
          <w:tcPr>
            <w:tcW w:w="5922" w:type="dxa"/>
            <w:tcBorders>
              <w:top w:val="single" w:color="auto" w:sz="4" w:space="0"/>
              <w:bottom w:val="single" w:color="auto" w:sz="4" w:space="0"/>
            </w:tcBorders>
            <w:vAlign w:val="center"/>
          </w:tcPr>
          <w:p>
            <w:pPr>
              <w:ind w:firstLine="480" w:firstLineChars="200"/>
              <w:rPr>
                <w:rFonts w:ascii="仿宋" w:hAnsi="仿宋" w:eastAsia="仿宋"/>
                <w:sz w:val="24"/>
                <w:szCs w:val="24"/>
              </w:rPr>
            </w:pPr>
            <w:r>
              <w:rPr>
                <w:rFonts w:hint="eastAsia" w:ascii="仿宋" w:hAnsi="仿宋" w:eastAsia="仿宋"/>
                <w:sz w:val="24"/>
                <w:szCs w:val="24"/>
              </w:rPr>
              <w:t>随着数字经济不断发展，互联网在线纠纷解决机制已成为信息时代解决电商合同纠纷、个人信息权益纠纷、知识产权纠纷等常见纠纷的重要场域。课程拟采用“理论讲授+案例分析”的授课模式：一方面，讲授互联网纠纷解决中互联网诉讼、仲裁、调解、和解、公证等多元化纠纷解决等制度的基本知识、基本概念、基本理论，推动学生对于互联网纠纷解决的基础知识进行充分理解掌握；另一方面，课程通过对于近年来我国典型互联网纠纷解决案例进行研析介绍，强化学生互联网纠纷解决的实操技能，从而使学生获得丰富的互联网纠纷解决实践经验。课程兼具深度与广度，做到理论与实践并举，有助于将学生培养成为新时代知法、守法、用法、尊法的高素质互联网法治人才。</w:t>
            </w:r>
          </w:p>
          <w:p>
            <w:pPr>
              <w:widowControl/>
              <w:jc w:val="left"/>
              <w:rPr>
                <w:rFonts w:ascii="仿宋" w:hAnsi="仿宋" w:eastAsia="仿宋"/>
                <w:bCs/>
                <w:sz w:val="24"/>
                <w:szCs w:val="24"/>
              </w:rPr>
            </w:pPr>
          </w:p>
          <w:p>
            <w:pPr>
              <w:widowControl/>
              <w:jc w:val="left"/>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9" w:hRule="exact"/>
          <w:jc w:val="center"/>
        </w:trPr>
        <w:tc>
          <w:tcPr>
            <w:tcW w:w="1110" w:type="dxa"/>
            <w:vAlign w:val="center"/>
          </w:tcPr>
          <w:p>
            <w:pPr>
              <w:widowControl/>
              <w:jc w:val="center"/>
              <w:rPr>
                <w:rFonts w:ascii="仿宋" w:hAnsi="仿宋" w:eastAsia="仿宋"/>
                <w:bCs/>
                <w:sz w:val="24"/>
                <w:szCs w:val="24"/>
              </w:rPr>
            </w:pPr>
            <w:r>
              <w:rPr>
                <w:rFonts w:hint="eastAsia" w:ascii="仿宋" w:hAnsi="仿宋" w:eastAsia="仿宋"/>
                <w:bCs/>
                <w:sz w:val="24"/>
                <w:szCs w:val="24"/>
              </w:rPr>
              <w:t>7</w:t>
            </w:r>
          </w:p>
        </w:tc>
        <w:tc>
          <w:tcPr>
            <w:tcW w:w="2118" w:type="dxa"/>
            <w:vAlign w:val="center"/>
          </w:tcPr>
          <w:p>
            <w:pPr>
              <w:widowControl/>
              <w:jc w:val="center"/>
              <w:rPr>
                <w:rFonts w:ascii="仿宋" w:hAnsi="仿宋" w:eastAsia="仿宋"/>
                <w:bCs/>
                <w:sz w:val="24"/>
                <w:szCs w:val="24"/>
              </w:rPr>
            </w:pPr>
            <w:r>
              <w:rPr>
                <w:rFonts w:hint="eastAsia" w:ascii="仿宋" w:hAnsi="仿宋" w:eastAsia="仿宋"/>
                <w:bCs/>
                <w:sz w:val="24"/>
                <w:szCs w:val="24"/>
              </w:rPr>
              <w:t>互联网犯罪治理</w:t>
            </w:r>
          </w:p>
        </w:tc>
        <w:tc>
          <w:tcPr>
            <w:tcW w:w="5922" w:type="dxa"/>
            <w:tcBorders>
              <w:top w:val="single" w:color="auto" w:sz="4" w:space="0"/>
              <w:bottom w:val="single" w:color="auto" w:sz="4" w:space="0"/>
            </w:tcBorders>
            <w:vAlign w:val="center"/>
          </w:tcPr>
          <w:p>
            <w:pPr>
              <w:widowControl/>
              <w:ind w:firstLine="480" w:firstLineChars="200"/>
              <w:jc w:val="left"/>
              <w:rPr>
                <w:rFonts w:ascii="仿宋" w:hAnsi="仿宋" w:eastAsia="仿宋"/>
                <w:bCs/>
                <w:sz w:val="24"/>
                <w:szCs w:val="24"/>
              </w:rPr>
            </w:pPr>
            <w:r>
              <w:rPr>
                <w:rFonts w:hint="eastAsia" w:ascii="仿宋" w:hAnsi="仿宋" w:eastAsia="仿宋"/>
                <w:bCs/>
                <w:sz w:val="24"/>
                <w:szCs w:val="24"/>
              </w:rPr>
              <w:t>随着互联网兴起，网络犯罪日益多发。本课程将以互联网领域常见的犯罪为主线，包括网络诈骗、非法集资、帮助信息网络犯罪活动罪等，将何为刑罚、犯罪、犯罪构成等理论问题融入其中，通过典型案例的讲解，让学生在较为轻松愉快的氛围下理解互联网领域常见的犯罪问题，提升法治思维，坚守法治底线。课程坚持理论教学与实践教学相结合，将带领学生前往法院旁听真实互联网犯罪案件，同时，将组织学生举办刑事模拟法庭比赛，在模拟实战中更加深入的理解互联网犯罪中的相关问题。</w:t>
            </w:r>
          </w:p>
          <w:p>
            <w:pPr>
              <w:widowControl/>
              <w:jc w:val="left"/>
              <w:rPr>
                <w:rFonts w:ascii="仿宋" w:hAnsi="仿宋" w:eastAsia="仿宋"/>
                <w:bCs/>
                <w:sz w:val="24"/>
                <w:szCs w:val="24"/>
              </w:rPr>
            </w:pPr>
          </w:p>
        </w:tc>
      </w:tr>
    </w:tbl>
    <w:p>
      <w:pPr>
        <w:rPr>
          <w:rFonts w:ascii="仿宋" w:hAnsi="仿宋" w:eastAsia="仿宋"/>
          <w:sz w:val="24"/>
          <w:szCs w:val="24"/>
        </w:rPr>
      </w:pPr>
    </w:p>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yODhkODhlYzU3MWY1YWRiMWQzM2U3MWEwY2I5NWMifQ=="/>
  </w:docVars>
  <w:rsids>
    <w:rsidRoot w:val="0AE32D0C"/>
    <w:rsid w:val="000703B8"/>
    <w:rsid w:val="000A3C68"/>
    <w:rsid w:val="000E29B1"/>
    <w:rsid w:val="000E5028"/>
    <w:rsid w:val="00143DE9"/>
    <w:rsid w:val="00182AB6"/>
    <w:rsid w:val="00197ED5"/>
    <w:rsid w:val="001A2AE0"/>
    <w:rsid w:val="001F1145"/>
    <w:rsid w:val="001F779B"/>
    <w:rsid w:val="00224880"/>
    <w:rsid w:val="00245BC9"/>
    <w:rsid w:val="002D1061"/>
    <w:rsid w:val="002D7440"/>
    <w:rsid w:val="002F663F"/>
    <w:rsid w:val="00301C38"/>
    <w:rsid w:val="00365C7D"/>
    <w:rsid w:val="00372B72"/>
    <w:rsid w:val="00387DA4"/>
    <w:rsid w:val="003C783A"/>
    <w:rsid w:val="003E6DCB"/>
    <w:rsid w:val="0040496E"/>
    <w:rsid w:val="00475003"/>
    <w:rsid w:val="0048514C"/>
    <w:rsid w:val="004B5A3E"/>
    <w:rsid w:val="004D539B"/>
    <w:rsid w:val="00502D17"/>
    <w:rsid w:val="00503FD5"/>
    <w:rsid w:val="005C7C39"/>
    <w:rsid w:val="00621618"/>
    <w:rsid w:val="00625A86"/>
    <w:rsid w:val="00654878"/>
    <w:rsid w:val="00683F1C"/>
    <w:rsid w:val="00720CE3"/>
    <w:rsid w:val="00751118"/>
    <w:rsid w:val="007A3DA5"/>
    <w:rsid w:val="00814025"/>
    <w:rsid w:val="008D0E0F"/>
    <w:rsid w:val="00972440"/>
    <w:rsid w:val="00990C4E"/>
    <w:rsid w:val="009F56B2"/>
    <w:rsid w:val="00A01983"/>
    <w:rsid w:val="00AD1E3C"/>
    <w:rsid w:val="00AD343F"/>
    <w:rsid w:val="00B23E84"/>
    <w:rsid w:val="00B53FF2"/>
    <w:rsid w:val="00B619CB"/>
    <w:rsid w:val="00BB0369"/>
    <w:rsid w:val="00BD54B5"/>
    <w:rsid w:val="00D325EA"/>
    <w:rsid w:val="00D36005"/>
    <w:rsid w:val="00D529C8"/>
    <w:rsid w:val="00E40895"/>
    <w:rsid w:val="00E73A4D"/>
    <w:rsid w:val="00F16F11"/>
    <w:rsid w:val="00F807EC"/>
    <w:rsid w:val="00FB6D9C"/>
    <w:rsid w:val="02641DFB"/>
    <w:rsid w:val="0AE32D0C"/>
    <w:rsid w:val="1165300E"/>
    <w:rsid w:val="175A6EDF"/>
    <w:rsid w:val="1EEF22CE"/>
    <w:rsid w:val="21BF3E1B"/>
    <w:rsid w:val="26755A83"/>
    <w:rsid w:val="3D7106DB"/>
    <w:rsid w:val="46E13E64"/>
    <w:rsid w:val="496038EF"/>
    <w:rsid w:val="5C2667BC"/>
    <w:rsid w:val="60E0197E"/>
    <w:rsid w:val="6221580D"/>
    <w:rsid w:val="64844FF7"/>
    <w:rsid w:val="649F2FD7"/>
    <w:rsid w:val="687B4BF8"/>
    <w:rsid w:val="70267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rFonts w:ascii="Times New Roman" w:hAnsi="Times New Roman" w:eastAsia="宋体" w:cs="Times New Roman"/>
      <w:sz w:val="18"/>
      <w:szCs w:val="18"/>
    </w:rPr>
  </w:style>
  <w:style w:type="character" w:customStyle="1" w:styleId="7">
    <w:name w:val="页脚 字符"/>
    <w:basedOn w:val="5"/>
    <w:link w:val="2"/>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456</Words>
  <Characters>2604</Characters>
  <Lines>21</Lines>
  <Paragraphs>6</Paragraphs>
  <TotalTime>0</TotalTime>
  <ScaleCrop>false</ScaleCrop>
  <LinksUpToDate>false</LinksUpToDate>
  <CharactersWithSpaces>3054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2023-05-06T03:14:00Z</dcterms:created>
  <dc:creator>Shine_ZHOU</dc:creator>
  <cp:lastModifiedBy>彼岸花开</cp:lastModifiedBy>
  <dcterms:modified xsi:type="dcterms:W3CDTF">2024-06-06T05:50:22Z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89BE444AC31A41DE92AD2CE08303C9EE</vt:lpwstr>
  </property>
</Properties>
</file>