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6B84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textAlignment w:val="auto"/>
        <w:rPr>
          <w:rFonts w:ascii="方正小标宋简体" w:eastAsia="方正小标宋简体" w:hAnsiTheme="minorEastAsia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 w:hAnsiTheme="minorEastAsia"/>
          <w:b w:val="0"/>
          <w:bCs w:val="0"/>
          <w:sz w:val="44"/>
          <w:szCs w:val="44"/>
        </w:rPr>
        <w:t>首都经济贸易大学</w:t>
      </w:r>
    </w:p>
    <w:p w14:paraId="08532AB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textAlignment w:val="auto"/>
        <w:rPr>
          <w:rFonts w:ascii="方正小标宋简体" w:eastAsia="方正小标宋简体" w:hAnsiTheme="minorEastAsia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 w:hAnsiTheme="minorEastAsia"/>
          <w:b w:val="0"/>
          <w:bCs w:val="0"/>
          <w:sz w:val="44"/>
          <w:szCs w:val="44"/>
        </w:rPr>
        <w:t>第一届</w:t>
      </w:r>
      <w:r>
        <w:rPr>
          <w:rFonts w:hint="eastAsia" w:ascii="方正小标宋简体" w:eastAsia="方正小标宋简体" w:hAnsiTheme="minorEastAsia"/>
          <w:b w:val="0"/>
          <w:bCs w:val="0"/>
          <w:sz w:val="44"/>
          <w:szCs w:val="44"/>
          <w:lang w:val="en-US" w:eastAsia="zh-CN"/>
        </w:rPr>
        <w:t>驼灵</w:t>
      </w:r>
      <w:r>
        <w:rPr>
          <w:rFonts w:hint="eastAsia" w:ascii="方正小标宋简体" w:eastAsia="方正小标宋简体" w:hAnsiTheme="minorEastAsia"/>
          <w:b w:val="0"/>
          <w:bCs w:val="0"/>
          <w:sz w:val="44"/>
          <w:szCs w:val="44"/>
        </w:rPr>
        <w:t>数智教育创新大赛实施方案</w:t>
      </w:r>
    </w:p>
    <w:p w14:paraId="12497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仿宋_GB2312" w:hAnsi="仿宋_GB2312" w:eastAsia="仿宋_GB2312" w:cs="仿宋_GB2312"/>
          <w:sz w:val="28"/>
          <w:szCs w:val="28"/>
        </w:rPr>
      </w:pPr>
    </w:p>
    <w:p w14:paraId="10397F2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为深入实施国家教育数字化战略，全面贯彻落实《教育强国建设规划纲要（2024—2035年）》战略部署和教育部等五部门《“人工智能+教育”行动计划》文件精神，落实立德树人根本任务，深化新时代教师队伍建设改革，夯实教师教学基本功，推动人工智能、大数据等新一代信息技术与教育教学深度融合，充分发挥人工智能赋能教育变革的重要作用，积极探索人工智能驱动下的教学模式重构、教学场景智能化升级和教学评价范式创新，加快构建人机协同、虚实结合、泛在可及的智慧教育新形态，全面提升教师数智化教学应用能力、课堂教学创新能力和综合育人水平，构建“数智重构·智慧共生”的教学新生态，学校经研究，决定举办第一届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驼灵</w:t>
      </w:r>
      <w:r>
        <w:rPr>
          <w:rFonts w:hint="eastAsia" w:ascii="仿宋_GB2312" w:eastAsia="仿宋_GB2312" w:hAnsiTheme="minorEastAsia"/>
          <w:sz w:val="32"/>
          <w:szCs w:val="32"/>
        </w:rPr>
        <w:t>数智教育创新大赛。</w:t>
      </w:r>
    </w:p>
    <w:p w14:paraId="5CEC96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一、指导思想</w:t>
      </w:r>
    </w:p>
    <w:p w14:paraId="6CE679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以习近平新时代中国特色社会主义思想为指导，全面贯彻党的教育方针，落实立德树人根本任务，主动适应教育数字化战略行动要求。本次大赛以“数智赋能·创新育人”为主题，旨在“以赛促教、以赛促学、以赛提质”，引导教师主动适应数智时代教育变革，提升数智教学胜任力，挖掘推广数智教育领域的优秀成果、实践经验和创新案例，为参加市级、国家级高校教师数智教育创新大赛培养优秀教师。</w:t>
      </w:r>
    </w:p>
    <w:p w14:paraId="3254DF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二、大赛组织</w:t>
      </w:r>
    </w:p>
    <w:p w14:paraId="10C8860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主办单位：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教务处，党委教师工作部、人事处</w:t>
      </w:r>
    </w:p>
    <w:p w14:paraId="7AAC8D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承办单位：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法学院，人工智能学院</w:t>
      </w:r>
    </w:p>
    <w:p w14:paraId="6A7675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技术支持：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驼灵大模型（本届比赛</w:t>
      </w:r>
      <w:r>
        <w:rPr>
          <w:rFonts w:hint="eastAsia" w:ascii="仿宋_GB2312" w:eastAsia="仿宋_GB2312" w:hAnsiTheme="minorEastAsia"/>
          <w:sz w:val="32"/>
          <w:szCs w:val="32"/>
        </w:rPr>
        <w:t>教师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必须使用</w:t>
      </w:r>
      <w:r>
        <w:rPr>
          <w:rFonts w:hint="eastAsia" w:ascii="仿宋_GB2312" w:eastAsia="仿宋_GB2312" w:hAnsiTheme="minorEastAsia"/>
          <w:sz w:val="32"/>
          <w:szCs w:val="32"/>
        </w:rPr>
        <w:t>学校驼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灵</w:t>
      </w:r>
      <w:r>
        <w:rPr>
          <w:rFonts w:hint="eastAsia" w:ascii="仿宋_GB2312" w:eastAsia="仿宋_GB2312" w:hAnsiTheme="minorEastAsia"/>
          <w:sz w:val="32"/>
          <w:szCs w:val="32"/>
        </w:rPr>
        <w:t>大模型开展教学展示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）</w:t>
      </w:r>
    </w:p>
    <w:p w14:paraId="6C20C6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、参赛对象与要求</w:t>
      </w:r>
    </w:p>
    <w:p w14:paraId="53C94F4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（一）参赛对象</w:t>
      </w:r>
    </w:p>
    <w:p w14:paraId="1A0AA0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全校所有在职专任教师。</w:t>
      </w:r>
    </w:p>
    <w:p w14:paraId="3EE0FB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（二）参赛要求</w:t>
      </w:r>
    </w:p>
    <w:p w14:paraId="3F6026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参赛课程应为列入学校教学计划的本科课程。</w:t>
      </w:r>
    </w:p>
    <w:p w14:paraId="1D2CF6C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（三）推荐名额</w:t>
      </w:r>
    </w:p>
    <w:p w14:paraId="64D12DC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各学院推荐参赛教师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不少于</w:t>
      </w:r>
      <w:r>
        <w:rPr>
          <w:rFonts w:hint="eastAsia" w:ascii="仿宋_GB2312" w:eastAsia="仿宋_GB2312" w:hAnsiTheme="minorEastAsia"/>
          <w:sz w:val="32"/>
          <w:szCs w:val="32"/>
        </w:rPr>
        <w:t>2名，正高副高组、中级及以下组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至少</w:t>
      </w:r>
      <w:r>
        <w:rPr>
          <w:rFonts w:hint="eastAsia" w:ascii="仿宋_GB2312" w:eastAsia="仿宋_GB2312" w:hAnsiTheme="minorEastAsia"/>
          <w:sz w:val="32"/>
          <w:szCs w:val="32"/>
        </w:rPr>
        <w:t>各1名。</w:t>
      </w:r>
    </w:p>
    <w:p w14:paraId="69D2BB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、赛程安排</w:t>
      </w:r>
    </w:p>
    <w:p w14:paraId="7FA688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大赛分为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赛前培训、</w:t>
      </w:r>
      <w:r>
        <w:rPr>
          <w:rFonts w:hint="eastAsia" w:ascii="仿宋_GB2312" w:eastAsia="仿宋_GB2312" w:hAnsiTheme="minorEastAsia"/>
          <w:sz w:val="32"/>
          <w:szCs w:val="32"/>
        </w:rPr>
        <w:t>初赛、复赛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 w:hAnsiTheme="minorEastAsia"/>
          <w:sz w:val="32"/>
          <w:szCs w:val="32"/>
        </w:rPr>
        <w:t>阶段，具体安排如下：</w:t>
      </w:r>
    </w:p>
    <w:p w14:paraId="00CA6C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default" w:ascii="仿宋_GB2312" w:eastAsia="仿宋_GB2312" w:hAnsi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赛前培训</w:t>
      </w:r>
    </w:p>
    <w:p w14:paraId="1B8CFD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default" w:ascii="仿宋_GB2312" w:eastAsia="仿宋_GB2312" w:hAnsi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 w:val="0"/>
          <w:bCs w:val="0"/>
          <w:sz w:val="32"/>
          <w:szCs w:val="32"/>
          <w:lang w:val="en-US" w:eastAsia="zh-CN"/>
        </w:rPr>
        <w:t>赛前将对参赛教师进行培训，培训内容及具体安排另行通知。</w:t>
      </w:r>
    </w:p>
    <w:p w14:paraId="38749F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（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 w:hAnsiTheme="minorEastAsia"/>
          <w:b/>
          <w:bCs/>
          <w:sz w:val="32"/>
          <w:szCs w:val="32"/>
        </w:rPr>
        <w:t>）初赛</w:t>
      </w:r>
    </w:p>
    <w:p w14:paraId="103E6A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初赛实行材料评审，教师按照要求将申报材料提交驼灵大模型平台，学校组织评审专家进行打分，得分前20名的进入复赛。初赛需要提交</w:t>
      </w:r>
      <w:r>
        <w:rPr>
          <w:rFonts w:hint="eastAsia" w:ascii="仿宋_GB2312" w:eastAsia="仿宋_GB2312" w:hAnsiTheme="minorEastAsia"/>
          <w:sz w:val="32"/>
          <w:szCs w:val="32"/>
        </w:rPr>
        <w:t>教学设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</w:rPr>
        <w:t>计和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说课视频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二者的</w:t>
      </w:r>
      <w:r>
        <w:rPr>
          <w:rFonts w:hint="eastAsia" w:ascii="仿宋_GB2312" w:eastAsia="仿宋_GB2312" w:hAnsiTheme="minorEastAsia"/>
          <w:sz w:val="32"/>
          <w:szCs w:val="32"/>
        </w:rPr>
        <w:t>权重分别为30%、70%。</w:t>
      </w:r>
    </w:p>
    <w:p w14:paraId="750351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 w:hAnsiTheme="minorEastAsia"/>
          <w:b/>
          <w:bCs/>
          <w:sz w:val="32"/>
          <w:szCs w:val="32"/>
        </w:rPr>
        <w:t>教学设计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 w:hAnsiTheme="minorEastAsia"/>
          <w:sz w:val="32"/>
          <w:szCs w:val="32"/>
        </w:rPr>
        <w:t>参赛教师自选一门本科主讲课程，参照《首都经济贸易大学数智教育创新大赛教学设计方案（模板）》（附件1）的要求进行教学设计。教学设计要明确课程整体设计思路，围绕该课程开展数智教学改革创新的措施与成效，以及有哪些特色与创新之处。</w:t>
      </w:r>
    </w:p>
    <w:p w14:paraId="2E8437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2.说课视频。</w:t>
      </w:r>
      <w:r>
        <w:rPr>
          <w:rFonts w:hint="eastAsia" w:ascii="仿宋_GB2312" w:eastAsia="仿宋_GB2312" w:hAnsiTheme="minorEastAsia"/>
          <w:b w:val="0"/>
          <w:bCs w:val="0"/>
          <w:sz w:val="32"/>
          <w:szCs w:val="32"/>
          <w:lang w:val="en-US" w:eastAsia="zh-CN"/>
        </w:rPr>
        <w:t>时长限制在10分钟以内，具体要求和技术标准详见附件2。</w:t>
      </w:r>
    </w:p>
    <w:p w14:paraId="3650DC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default" w:ascii="仿宋_GB2312" w:eastAsia="仿宋_GB2312" w:hAnsi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 w:val="0"/>
          <w:bCs w:val="0"/>
          <w:sz w:val="32"/>
          <w:szCs w:val="32"/>
          <w:lang w:val="en-US" w:eastAsia="zh-CN"/>
        </w:rPr>
        <w:t>各学院应当组织教师在9月10日前将比赛材料上传驼灵大模型，学校将在9月底前完成初赛材料评审，并公布进入复赛的名单。</w:t>
      </w:r>
    </w:p>
    <w:p w14:paraId="0D5FC4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（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 w:hAnsiTheme="minorEastAsia"/>
          <w:b/>
          <w:bCs/>
          <w:sz w:val="32"/>
          <w:szCs w:val="32"/>
        </w:rPr>
        <w:t>）复赛</w:t>
      </w:r>
    </w:p>
    <w:p w14:paraId="354CF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入围复赛的老师，将进行现场展示。成绩</w:t>
      </w:r>
      <w:r>
        <w:rPr>
          <w:rFonts w:hint="eastAsia" w:ascii="仿宋_GB2312" w:eastAsia="仿宋_GB2312" w:hAnsiTheme="minorEastAsia"/>
          <w:sz w:val="32"/>
          <w:szCs w:val="32"/>
        </w:rPr>
        <w:t>由教学设计和现场教学展示两部分组成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具体要求参照初赛教学设计和说课视频要求</w:t>
      </w:r>
      <w:r>
        <w:rPr>
          <w:rFonts w:hint="eastAsia" w:ascii="仿宋_GB2312" w:eastAsia="仿宋_GB2312" w:hAnsiTheme="minorEastAsia"/>
          <w:sz w:val="32"/>
          <w:szCs w:val="32"/>
        </w:rPr>
        <w:t>。成绩评定采用百分制，权重分别为30%、70%。</w:t>
      </w:r>
    </w:p>
    <w:p w14:paraId="6EFF1E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复赛</w:t>
      </w:r>
      <w:r>
        <w:rPr>
          <w:rFonts w:hint="eastAsia" w:ascii="仿宋_GB2312" w:eastAsia="仿宋_GB2312" w:hAnsiTheme="minorEastAsia"/>
          <w:sz w:val="32"/>
          <w:szCs w:val="32"/>
        </w:rPr>
        <w:t>初步定于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10月中旬举行，具体安排另行通知。</w:t>
      </w:r>
    </w:p>
    <w:p w14:paraId="1CD5F5F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、奖项设置与激励机制</w:t>
      </w:r>
    </w:p>
    <w:p w14:paraId="4B2A38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（一）奖项设置</w:t>
      </w:r>
    </w:p>
    <w:p w14:paraId="4C8E08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本次比赛暂设一等奖3人、二等奖6人、三等奖若干。</w:t>
      </w:r>
    </w:p>
    <w:p w14:paraId="71E456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（二）政策激励</w:t>
      </w:r>
    </w:p>
    <w:p w14:paraId="06B65B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1.晋级推荐：获得校级一等奖的教师，优先推荐参加省级、国家级高校教师数智教育创新大赛；</w:t>
      </w:r>
    </w:p>
    <w:p w14:paraId="3C14E3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sz w:val="32"/>
          <w:szCs w:val="32"/>
          <w:highlight w:val="none"/>
        </w:rPr>
        <w:t>2.成果认定：获奖教师将参照青教赛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校赛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认定成果等级，在职称评审、岗位聘任中予以认定。</w:t>
      </w:r>
    </w:p>
    <w:p w14:paraId="578456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、工作要求</w:t>
      </w:r>
    </w:p>
    <w:p w14:paraId="152B90B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1.各教学单位要高度重视本次大赛活动，广泛宣传动员，为数智教育创新大赛顺利开展营造良好的氛围，加强组织领导，发动教师积极参与、精心准备，确保工作取得成效。</w:t>
      </w:r>
    </w:p>
    <w:p w14:paraId="13EFFB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ascii="仿宋_GB2312" w:eastAsia="仿宋_GB2312" w:hAnsiTheme="minor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</w:rPr>
        <w:t>在比赛的组织过程中，要贯彻公平、公开、公正和注重实效的原则，保障广大教师公平参与比赛活动。</w:t>
      </w:r>
    </w:p>
    <w:p w14:paraId="5CBDBF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.参赛教师要总结教学经验，认真准备，转变教学观念，努力提高教学效果，为广大教师AI赋能教学提供示范和学习样板。</w:t>
      </w:r>
    </w:p>
    <w:p w14:paraId="7BCBFE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</w:p>
    <w:p w14:paraId="026925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firstLine="600"/>
        <w:textAlignment w:val="auto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联系人：李老师     联系方式：83951202</w:t>
      </w:r>
    </w:p>
    <w:p w14:paraId="4B4A3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75A9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321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</w:p>
    <w:p w14:paraId="28D60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320" w:firstLineChars="1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1.首都经济贸易大学数智教育创新大赛教学设计方案（模板）</w:t>
      </w:r>
    </w:p>
    <w:p w14:paraId="7AC6A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320" w:firstLineChars="1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2.首都经济贸易大学数智教育创新大赛教师说课视频标准</w:t>
      </w:r>
    </w:p>
    <w:p w14:paraId="11030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320" w:firstLineChars="10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3.首都经济贸易大学数智教育创新大赛评分标准和评分细则</w:t>
      </w:r>
    </w:p>
    <w:p w14:paraId="23907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仿宋_GB2312" w:hAnsi="仿宋_GB2312" w:eastAsia="仿宋_GB2312" w:cs="仿宋_GB2312"/>
          <w:sz w:val="30"/>
          <w:szCs w:val="30"/>
        </w:rPr>
      </w:pPr>
    </w:p>
    <w:p w14:paraId="60AD2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right"/>
        <w:textAlignment w:val="auto"/>
        <w:rPr>
          <w:rFonts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6F212F1"/>
    <w:rsid w:val="002B2423"/>
    <w:rsid w:val="00385DD8"/>
    <w:rsid w:val="00396772"/>
    <w:rsid w:val="003A2EFC"/>
    <w:rsid w:val="006415C5"/>
    <w:rsid w:val="00763283"/>
    <w:rsid w:val="00B04D76"/>
    <w:rsid w:val="00B74900"/>
    <w:rsid w:val="00F40589"/>
    <w:rsid w:val="00FE1382"/>
    <w:rsid w:val="087917D0"/>
    <w:rsid w:val="26D27944"/>
    <w:rsid w:val="3DED4B6E"/>
    <w:rsid w:val="3FFE1521"/>
    <w:rsid w:val="5816792E"/>
    <w:rsid w:val="5E4FE440"/>
    <w:rsid w:val="63B182F4"/>
    <w:rsid w:val="657499EB"/>
    <w:rsid w:val="69801C11"/>
    <w:rsid w:val="69FF0EC4"/>
    <w:rsid w:val="77A7B9E5"/>
    <w:rsid w:val="77D6384D"/>
    <w:rsid w:val="7FFBEE8C"/>
    <w:rsid w:val="9AFDBFD6"/>
    <w:rsid w:val="9DAEF3E6"/>
    <w:rsid w:val="A6F212F1"/>
    <w:rsid w:val="DBF31F39"/>
    <w:rsid w:val="EFF28023"/>
    <w:rsid w:val="F89FD409"/>
    <w:rsid w:val="FB7FA2FE"/>
    <w:rsid w:val="FEF758E3"/>
    <w:rsid w:val="FF06E7EB"/>
    <w:rsid w:val="FF57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link w:val="14"/>
    <w:unhideWhenUsed/>
    <w:qFormat/>
    <w:uiPriority w:val="99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link w:val="13"/>
    <w:qFormat/>
    <w:uiPriority w:val="10"/>
    <w:pPr>
      <w:widowControl w:val="0"/>
      <w:adjustRightInd w:val="0"/>
      <w:spacing w:before="100" w:after="100"/>
      <w:jc w:val="center"/>
    </w:pPr>
    <w:rPr>
      <w:rFonts w:ascii="Times New Roman" w:hAnsi="Times New Roman" w:eastAsia="黑体" w:cs="Times New Roman"/>
      <w:kern w:val="2"/>
      <w:sz w:val="36"/>
      <w:szCs w:val="24"/>
      <w:lang w:val="en-US" w:eastAsia="zh-CN" w:bidi="ar-SA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标题 字符"/>
    <w:basedOn w:val="8"/>
    <w:link w:val="5"/>
    <w:qFormat/>
    <w:uiPriority w:val="10"/>
    <w:rPr>
      <w:rFonts w:eastAsia="黑体"/>
      <w:kern w:val="2"/>
      <w:sz w:val="36"/>
      <w:szCs w:val="24"/>
    </w:rPr>
  </w:style>
  <w:style w:type="character" w:customStyle="1" w:styleId="14">
    <w:name w:val="正文文本 字符"/>
    <w:basedOn w:val="8"/>
    <w:link w:val="2"/>
    <w:qFormat/>
    <w:uiPriority w:val="99"/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1500</Words>
  <Characters>1536</Characters>
  <Lines>13</Lines>
  <Paragraphs>3</Paragraphs>
  <TotalTime>71</TotalTime>
  <ScaleCrop>false</ScaleCrop>
  <LinksUpToDate>false</LinksUpToDate>
  <CharactersWithSpaces>1542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2026-05-08T23:59:00Z</dcterms:created>
  <dc:creator>ysc</dc:creator>
  <cp:lastModifiedBy>钱程</cp:lastModifiedBy>
  <dcterms:modified xsi:type="dcterms:W3CDTF">2026-05-25T08:50:00Z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C030EBBCF099A831AF8E046AB50A3B14_43</vt:lpwstr>
  </property>
  <property fmtid="{D5CDD505-2E9C-101B-9397-08002B2CF9AE}" pid="4" name="KSOTemplateDocerSaveRecord">
    <vt:lpwstr>eyJoZGlkIjoiNzAxZTNhZmMxNjAzYjk5YzVjZGIzMTY2ZGI0ZTE2ZDEiLCJ1c2VySWQiOiI1OTUzNTA4MTQifQ==</vt:lpwstr>
  </property>
</Properties>
</file>