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E2E483">
      <w:pPr>
        <w:rPr>
          <w:rFonts w:hint="eastAsia" w:ascii="黑体" w:hAnsi="黑体" w:eastAsia="黑体" w:cs="仿宋_GB2312"/>
          <w:sz w:val="32"/>
          <w:szCs w:val="32"/>
          <w:highlight w:val="none"/>
        </w:rPr>
      </w:pPr>
      <w:bookmarkStart w:id="0" w:name="_GoBack"/>
      <w:bookmarkEnd w:id="0"/>
    </w:p>
    <w:p w14:paraId="7684CD54">
      <w:pPr>
        <w:jc w:val="center"/>
        <w:rPr>
          <w:rFonts w:hint="eastAsia" w:ascii="方正小标宋简体" w:hAnsi="方正小标宋_GBK" w:eastAsia="方正小标宋简体" w:cs="方正小标宋_GBK"/>
          <w:sz w:val="44"/>
          <w:szCs w:val="44"/>
          <w:highlight w:val="none"/>
        </w:rPr>
      </w:pPr>
    </w:p>
    <w:p w14:paraId="200DD646">
      <w:pPr>
        <w:jc w:val="center"/>
        <w:rPr>
          <w:rFonts w:hint="eastAsia" w:ascii="方正小标宋简体" w:hAnsi="方正小标宋_GBK" w:eastAsia="方正小标宋简体" w:cs="方正小标宋_GBK"/>
          <w:sz w:val="44"/>
          <w:szCs w:val="44"/>
          <w:highlight w:val="none"/>
        </w:rPr>
      </w:pPr>
    </w:p>
    <w:p w14:paraId="423F6AE6">
      <w:pPr>
        <w:jc w:val="center"/>
        <w:rPr>
          <w:rFonts w:hint="eastAsia" w:ascii="方正小标宋简体" w:hAnsi="方正小标宋_GBK" w:eastAsia="方正小标宋简体" w:cs="方正小标宋_GBK"/>
          <w:sz w:val="44"/>
          <w:szCs w:val="44"/>
          <w:highlight w:val="none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  <w:highlight w:val="none"/>
        </w:rPr>
        <w:t>北京市数字教育中心202</w:t>
      </w:r>
      <w:r>
        <w:rPr>
          <w:rFonts w:hint="eastAsia" w:ascii="方正小标宋简体" w:hAnsi="方正小标宋_GBK" w:eastAsia="方正小标宋简体" w:cs="方正小标宋_GBK"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方正小标宋简体" w:hAnsi="方正小标宋_GBK" w:eastAsia="方正小标宋简体" w:cs="方正小标宋_GBK"/>
          <w:sz w:val="44"/>
          <w:szCs w:val="44"/>
          <w:highlight w:val="none"/>
        </w:rPr>
        <w:t>年度课题指南</w:t>
      </w:r>
    </w:p>
    <w:p w14:paraId="7007189D">
      <w:pPr>
        <w:jc w:val="center"/>
        <w:rPr>
          <w:rFonts w:hint="eastAsia" w:ascii="方正小标宋简体" w:hAnsi="方正小标宋_GBK" w:eastAsia="方正小标宋简体" w:cs="方正小标宋_GBK"/>
          <w:sz w:val="44"/>
          <w:szCs w:val="44"/>
          <w:highlight w:val="none"/>
        </w:rPr>
      </w:pPr>
    </w:p>
    <w:p w14:paraId="38745F8E">
      <w:pPr>
        <w:ind w:firstLine="723" w:firstLineChars="200"/>
        <w:jc w:val="center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6"/>
          <w:szCs w:val="36"/>
          <w:highlight w:val="none"/>
        </w:rPr>
      </w:pPr>
    </w:p>
    <w:p w14:paraId="4716CCE1">
      <w:pPr>
        <w:ind w:firstLine="723" w:firstLineChars="200"/>
        <w:jc w:val="center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6"/>
          <w:szCs w:val="36"/>
          <w:highlight w:val="none"/>
        </w:rPr>
      </w:pPr>
    </w:p>
    <w:p w14:paraId="6E2C8453">
      <w:pPr>
        <w:ind w:firstLine="723" w:firstLineChars="200"/>
        <w:jc w:val="center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6"/>
          <w:szCs w:val="36"/>
          <w:highlight w:val="none"/>
        </w:rPr>
      </w:pPr>
    </w:p>
    <w:p w14:paraId="50C9B30A">
      <w:pPr>
        <w:ind w:firstLine="723" w:firstLineChars="200"/>
        <w:jc w:val="center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6"/>
          <w:szCs w:val="36"/>
          <w:highlight w:val="none"/>
        </w:rPr>
      </w:pPr>
    </w:p>
    <w:p w14:paraId="101674E8">
      <w:pPr>
        <w:ind w:firstLine="723" w:firstLineChars="200"/>
        <w:jc w:val="center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6"/>
          <w:szCs w:val="36"/>
          <w:highlight w:val="none"/>
        </w:rPr>
      </w:pPr>
    </w:p>
    <w:p w14:paraId="3411287A">
      <w:pPr>
        <w:ind w:firstLine="723" w:firstLineChars="200"/>
        <w:jc w:val="center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6"/>
          <w:szCs w:val="36"/>
          <w:highlight w:val="none"/>
        </w:rPr>
      </w:pPr>
    </w:p>
    <w:p w14:paraId="294B2937">
      <w:pPr>
        <w:ind w:firstLine="723" w:firstLineChars="200"/>
        <w:jc w:val="center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6"/>
          <w:szCs w:val="36"/>
          <w:highlight w:val="none"/>
        </w:rPr>
      </w:pPr>
    </w:p>
    <w:p w14:paraId="23592A87">
      <w:pPr>
        <w:ind w:firstLine="723" w:firstLineChars="200"/>
        <w:jc w:val="center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6"/>
          <w:szCs w:val="36"/>
          <w:highlight w:val="none"/>
        </w:rPr>
      </w:pPr>
    </w:p>
    <w:p w14:paraId="36380948">
      <w:pPr>
        <w:ind w:firstLine="723" w:firstLineChars="200"/>
        <w:jc w:val="center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6"/>
          <w:szCs w:val="36"/>
          <w:highlight w:val="none"/>
        </w:rPr>
      </w:pPr>
    </w:p>
    <w:p w14:paraId="7E3521DB">
      <w:pPr>
        <w:ind w:firstLine="723" w:firstLineChars="200"/>
        <w:jc w:val="center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6"/>
          <w:szCs w:val="36"/>
          <w:highlight w:val="none"/>
        </w:rPr>
      </w:pPr>
    </w:p>
    <w:p w14:paraId="6E236B36">
      <w:pPr>
        <w:ind w:firstLine="723" w:firstLineChars="200"/>
        <w:jc w:val="center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6"/>
          <w:szCs w:val="36"/>
          <w:highlight w:val="none"/>
        </w:rPr>
      </w:pPr>
    </w:p>
    <w:p w14:paraId="63A1FCD9">
      <w:pPr>
        <w:ind w:firstLine="723" w:firstLineChars="200"/>
        <w:jc w:val="center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6"/>
          <w:szCs w:val="36"/>
          <w:highlight w:val="none"/>
        </w:rPr>
      </w:pPr>
    </w:p>
    <w:p w14:paraId="05E207C4">
      <w:pPr>
        <w:ind w:firstLine="723" w:firstLineChars="200"/>
        <w:jc w:val="center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6"/>
          <w:szCs w:val="36"/>
          <w:highlight w:val="none"/>
        </w:rPr>
      </w:pPr>
    </w:p>
    <w:p w14:paraId="746DB46A">
      <w:pPr>
        <w:ind w:firstLine="723" w:firstLineChars="200"/>
        <w:jc w:val="center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6"/>
          <w:szCs w:val="36"/>
          <w:highlight w:val="none"/>
        </w:rPr>
      </w:pPr>
    </w:p>
    <w:p w14:paraId="79AEF407">
      <w:pPr>
        <w:ind w:firstLine="723" w:firstLineChars="200"/>
        <w:jc w:val="center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6"/>
          <w:szCs w:val="36"/>
          <w:highlight w:val="none"/>
        </w:rPr>
      </w:pPr>
    </w:p>
    <w:p w14:paraId="6D4D4B54">
      <w:pPr>
        <w:ind w:firstLine="723" w:firstLineChars="200"/>
        <w:jc w:val="center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6"/>
          <w:szCs w:val="36"/>
          <w:highlight w:val="none"/>
        </w:rPr>
      </w:pPr>
    </w:p>
    <w:p w14:paraId="4E77A346">
      <w:pPr>
        <w:ind w:firstLine="723" w:firstLineChars="200"/>
        <w:jc w:val="center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6"/>
          <w:szCs w:val="36"/>
          <w:highlight w:val="none"/>
        </w:rPr>
      </w:pPr>
    </w:p>
    <w:p w14:paraId="370D1836"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北京市数字教育中心（北京电化教育馆）</w:t>
      </w:r>
    </w:p>
    <w:p w14:paraId="3A2B971E">
      <w:pPr>
        <w:spacing w:line="560" w:lineRule="exact"/>
        <w:jc w:val="center"/>
        <w:rPr>
          <w:rFonts w:hint="eastAsia" w:ascii="仿宋_GB2312" w:hAnsi="等线" w:eastAsia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</w:p>
    <w:p w14:paraId="2F0CB146">
      <w:pPr>
        <w:widowControl/>
        <w:jc w:val="left"/>
        <w:rPr>
          <w:rFonts w:ascii="仿宋_GB2312" w:hAnsi="等线" w:eastAsia="仿宋_GB2312"/>
          <w:sz w:val="32"/>
          <w:szCs w:val="32"/>
          <w:highlight w:val="none"/>
        </w:rPr>
        <w:sectPr>
          <w:footerReference r:id="rId3" w:type="default"/>
          <w:footerReference r:id="rId4" w:type="even"/>
          <w:pgSz w:w="11906" w:h="16838"/>
          <w:pgMar w:top="1985" w:right="1588" w:bottom="1871" w:left="1588" w:header="720" w:footer="1361" w:gutter="0"/>
          <w:pgNumType w:fmt="numberInDash" w:start="1"/>
          <w:cols w:space="720" w:num="1"/>
          <w:titlePg/>
          <w:docGrid w:linePitch="286" w:charSpace="0"/>
        </w:sectPr>
      </w:pPr>
    </w:p>
    <w:p w14:paraId="0A77D7FD">
      <w:pPr>
        <w:spacing w:line="560" w:lineRule="exact"/>
        <w:ind w:firstLine="640" w:firstLineChars="200"/>
        <w:rPr>
          <w:rFonts w:hint="eastAsia" w:ascii="仿宋_GB2312" w:hAnsi="等线" w:eastAsia="仿宋_GB2312"/>
          <w:sz w:val="32"/>
          <w:szCs w:val="32"/>
          <w:highlight w:val="none"/>
        </w:rPr>
      </w:pPr>
      <w:r>
        <w:rPr>
          <w:rFonts w:hint="eastAsia" w:ascii="仿宋_GB2312" w:hAnsi="等线" w:eastAsia="仿宋_GB2312"/>
          <w:sz w:val="32"/>
          <w:szCs w:val="32"/>
          <w:highlight w:val="none"/>
        </w:rPr>
        <w:t>本</w:t>
      </w:r>
      <w:r>
        <w:rPr>
          <w:rFonts w:hint="eastAsia" w:ascii="仿宋_GB2312" w:hAnsi="等线" w:eastAsia="仿宋_GB2312"/>
          <w:sz w:val="32"/>
          <w:szCs w:val="32"/>
          <w:highlight w:val="none"/>
          <w:lang w:eastAsia="zh-CN"/>
        </w:rPr>
        <w:t>《</w:t>
      </w:r>
      <w:r>
        <w:rPr>
          <w:rFonts w:hint="eastAsia" w:ascii="仿宋_GB2312" w:hAnsi="等线" w:eastAsia="仿宋_GB2312"/>
          <w:sz w:val="32"/>
          <w:szCs w:val="32"/>
          <w:highlight w:val="none"/>
        </w:rPr>
        <w:t>指南</w:t>
      </w:r>
      <w:r>
        <w:rPr>
          <w:rFonts w:hint="eastAsia" w:ascii="仿宋_GB2312" w:hAnsi="等线" w:eastAsia="仿宋_GB2312"/>
          <w:sz w:val="32"/>
          <w:szCs w:val="32"/>
          <w:highlight w:val="none"/>
          <w:lang w:eastAsia="zh-CN"/>
        </w:rPr>
        <w:t>》</w:t>
      </w:r>
      <w:r>
        <w:rPr>
          <w:rFonts w:hint="eastAsia" w:ascii="仿宋_GB2312" w:hAnsi="等线" w:eastAsia="仿宋_GB2312"/>
          <w:sz w:val="32"/>
          <w:szCs w:val="32"/>
          <w:highlight w:val="none"/>
        </w:rPr>
        <w:t>旨在以习近平新时代中国特色社会主义思想为指导，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深入学习贯彻党的二十大和二十届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历次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全会精神以及全国、全市教育大会精神，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按照国家教育数字化战略行动和北京市“人工智能+教育”总体部署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，</w:t>
      </w:r>
      <w:r>
        <w:rPr>
          <w:rFonts w:hint="eastAsia" w:ascii="仿宋_GB2312" w:hAnsi="等线" w:eastAsia="仿宋_GB2312"/>
          <w:sz w:val="32"/>
          <w:szCs w:val="32"/>
          <w:highlight w:val="none"/>
        </w:rPr>
        <w:t>重视以创新为导向的基础研究，加强基于实证的应用研究，强化以标准和规范为主导的实践研究，提高选题的针对性、实效性，形成北京市数字教育发展的创意、理论、制度、标准、规范、模式、方法，体现教育技术促进教育事业科学、均衡、和谐发展的战略性、前瞻性和有效性，支撑首都教育信息化决策，推动首都教育现代化新发展。</w:t>
      </w:r>
    </w:p>
    <w:p w14:paraId="527F370F">
      <w:pPr>
        <w:autoSpaceDE w:val="0"/>
        <w:autoSpaceDN w:val="0"/>
        <w:spacing w:line="560" w:lineRule="exact"/>
        <w:ind w:firstLine="640" w:firstLineChars="200"/>
        <w:jc w:val="left"/>
        <w:rPr>
          <w:rFonts w:hint="eastAsia" w:ascii="黑体" w:hAnsi="黑体" w:eastAsia="黑体" w:cs="黑体"/>
          <w:kern w:val="0"/>
          <w:sz w:val="31"/>
          <w:szCs w:val="31"/>
          <w:highlight w:val="none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</w:rPr>
        <w:t>一、研究课题的分类</w:t>
      </w:r>
    </w:p>
    <w:p w14:paraId="0863733D">
      <w:pPr>
        <w:spacing w:line="560" w:lineRule="exact"/>
        <w:ind w:firstLine="640" w:firstLineChars="200"/>
        <w:rPr>
          <w:rFonts w:hint="default" w:ascii="仿宋_GB2312" w:hAnsi="等线" w:eastAsia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等线" w:eastAsia="仿宋_GB2312"/>
          <w:sz w:val="32"/>
          <w:szCs w:val="32"/>
          <w:highlight w:val="none"/>
        </w:rPr>
        <w:t>1.重点课题：</w:t>
      </w:r>
      <w:r>
        <w:rPr>
          <w:rFonts w:hint="eastAsia" w:ascii="仿宋_GB2312" w:hAnsi="等线" w:eastAsia="仿宋_GB2312"/>
          <w:b/>
          <w:bCs/>
          <w:sz w:val="32"/>
          <w:szCs w:val="32"/>
          <w:highlight w:val="none"/>
        </w:rPr>
        <w:t>围绕</w:t>
      </w:r>
      <w:r>
        <w:rPr>
          <w:rFonts w:hint="eastAsia" w:ascii="仿宋_GB2312" w:hAnsi="等线" w:eastAsia="仿宋_GB2312"/>
          <w:b/>
          <w:bCs/>
          <w:sz w:val="32"/>
          <w:szCs w:val="32"/>
          <w:highlight w:val="none"/>
          <w:lang w:val="en-US" w:eastAsia="zh-CN"/>
        </w:rPr>
        <w:t>北京市</w:t>
      </w:r>
      <w:r>
        <w:rPr>
          <w:rFonts w:hint="eastAsia" w:ascii="仿宋_GB2312" w:hAnsi="等线" w:eastAsia="仿宋_GB2312"/>
          <w:b/>
          <w:bCs/>
          <w:sz w:val="32"/>
          <w:szCs w:val="32"/>
          <w:highlight w:val="none"/>
          <w:lang w:eastAsia="zh-CN"/>
        </w:rPr>
        <w:t>“</w:t>
      </w:r>
      <w:r>
        <w:rPr>
          <w:rFonts w:hint="eastAsia" w:ascii="仿宋_GB2312" w:hAnsi="等线" w:eastAsia="仿宋_GB2312"/>
          <w:b/>
          <w:bCs/>
          <w:sz w:val="32"/>
          <w:szCs w:val="32"/>
          <w:highlight w:val="none"/>
          <w:lang w:val="en-US" w:eastAsia="zh-CN"/>
        </w:rPr>
        <w:t>人工智能+教育</w:t>
      </w:r>
      <w:r>
        <w:rPr>
          <w:rFonts w:hint="eastAsia" w:ascii="仿宋_GB2312" w:hAnsi="等线" w:eastAsia="仿宋_GB2312"/>
          <w:b/>
          <w:bCs/>
          <w:sz w:val="32"/>
          <w:szCs w:val="32"/>
          <w:highlight w:val="none"/>
          <w:lang w:eastAsia="zh-CN"/>
        </w:rPr>
        <w:t>”</w:t>
      </w:r>
      <w:r>
        <w:rPr>
          <w:rFonts w:hint="eastAsia" w:ascii="仿宋_GB2312" w:hAnsi="等线" w:eastAsia="仿宋_GB2312"/>
          <w:b/>
          <w:bCs/>
          <w:sz w:val="32"/>
          <w:szCs w:val="32"/>
          <w:highlight w:val="none"/>
          <w:lang w:val="en-US" w:eastAsia="zh-CN"/>
        </w:rPr>
        <w:t>43344总体布局，重点关注</w:t>
      </w:r>
      <w:r>
        <w:rPr>
          <w:rFonts w:hint="eastAsia" w:ascii="仿宋_GB2312" w:hAnsi="等线" w:eastAsia="仿宋_GB2312"/>
          <w:b/>
          <w:bCs/>
          <w:sz w:val="32"/>
          <w:szCs w:val="32"/>
          <w:highlight w:val="none"/>
        </w:rPr>
        <w:t>人工智能</w:t>
      </w:r>
      <w:r>
        <w:rPr>
          <w:rFonts w:hint="eastAsia" w:ascii="仿宋_GB2312" w:hAnsi="等线" w:eastAsia="仿宋_GB2312"/>
          <w:b/>
          <w:bCs/>
          <w:sz w:val="32"/>
          <w:szCs w:val="32"/>
          <w:highlight w:val="none"/>
          <w:lang w:val="en-US" w:eastAsia="zh-CN"/>
        </w:rPr>
        <w:t>赋能下的新质新域教育模式</w:t>
      </w:r>
      <w:r>
        <w:rPr>
          <w:rFonts w:hint="eastAsia" w:ascii="仿宋_GB2312" w:hAnsi="等线" w:eastAsia="仿宋_GB2312"/>
          <w:b/>
          <w:bCs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等线" w:eastAsia="仿宋_GB2312"/>
          <w:b/>
          <w:bCs/>
          <w:sz w:val="32"/>
          <w:szCs w:val="32"/>
          <w:highlight w:val="none"/>
          <w:lang w:val="en-US" w:eastAsia="zh-CN"/>
        </w:rPr>
        <w:t>人工智能支持下的新型人才培养方式、数智驱动学生健康成长、人工智能素养教育、具身智能设备应用研究、人工智能标杆校建设与示范应用、教育领域人工智能伦理与安全等方向和主题。同时，围绕教育强国建设三年行动计划-人工智能赋能教育行动和国家智慧教育平台试点任务开展研究。</w:t>
      </w:r>
    </w:p>
    <w:p w14:paraId="29F23767">
      <w:pPr>
        <w:spacing w:line="560" w:lineRule="exact"/>
        <w:ind w:firstLine="640" w:firstLineChars="200"/>
        <w:rPr>
          <w:rFonts w:hint="eastAsia" w:ascii="仿宋_GB2312" w:hAnsi="等线" w:eastAsia="仿宋_GB2312"/>
          <w:sz w:val="32"/>
          <w:szCs w:val="32"/>
          <w:highlight w:val="none"/>
        </w:rPr>
      </w:pPr>
      <w:r>
        <w:rPr>
          <w:rFonts w:hint="eastAsia" w:ascii="仿宋_GB2312" w:hAnsi="等线" w:eastAsia="仿宋_GB2312"/>
          <w:sz w:val="32"/>
          <w:szCs w:val="32"/>
          <w:highlight w:val="none"/>
        </w:rPr>
        <w:t>2.一般课题：申报人根据《北京市数字教育研究课题管理办法》（202</w:t>
      </w:r>
      <w:r>
        <w:rPr>
          <w:rFonts w:hint="eastAsia" w:ascii="仿宋_GB2312" w:hAnsi="等线" w:eastAsia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等线" w:eastAsia="仿宋_GB2312"/>
          <w:sz w:val="32"/>
          <w:szCs w:val="32"/>
          <w:highlight w:val="none"/>
        </w:rPr>
        <w:t>年修订版）相关规定，可基于但不限于指南确定的内容，自主选择</w:t>
      </w:r>
      <w:r>
        <w:rPr>
          <w:rFonts w:hint="eastAsia" w:ascii="仿宋_GB2312" w:hAnsi="等线" w:eastAsia="仿宋_GB2312"/>
          <w:sz w:val="32"/>
          <w:szCs w:val="32"/>
          <w:highlight w:val="none"/>
          <w:lang w:val="en-US" w:eastAsia="zh-CN"/>
        </w:rPr>
        <w:t>确定</w:t>
      </w:r>
      <w:r>
        <w:rPr>
          <w:rFonts w:hint="eastAsia" w:ascii="仿宋_GB2312" w:hAnsi="等线" w:eastAsia="仿宋_GB2312"/>
          <w:sz w:val="32"/>
          <w:szCs w:val="32"/>
          <w:highlight w:val="none"/>
        </w:rPr>
        <w:t>课题研究方向</w:t>
      </w:r>
      <w:r>
        <w:rPr>
          <w:rFonts w:hint="eastAsia" w:ascii="仿宋_GB2312" w:hAnsi="等线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等线" w:eastAsia="仿宋_GB2312"/>
          <w:sz w:val="32"/>
          <w:szCs w:val="32"/>
          <w:highlight w:val="none"/>
          <w:lang w:val="en-US" w:eastAsia="zh-CN"/>
        </w:rPr>
        <w:t>主题</w:t>
      </w:r>
      <w:r>
        <w:rPr>
          <w:rFonts w:hint="eastAsia" w:ascii="仿宋_GB2312" w:hAnsi="等线" w:eastAsia="仿宋_GB2312"/>
          <w:sz w:val="32"/>
          <w:szCs w:val="32"/>
          <w:highlight w:val="none"/>
        </w:rPr>
        <w:t>和内容。</w:t>
      </w:r>
    </w:p>
    <w:p w14:paraId="058CD647"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课题研究方向</w:t>
      </w:r>
    </w:p>
    <w:p w14:paraId="7163ED41">
      <w:pPr>
        <w:numPr>
          <w:ilvl w:val="0"/>
          <w:numId w:val="2"/>
        </w:numPr>
        <w:spacing w:line="560" w:lineRule="exact"/>
        <w:rPr>
          <w:rFonts w:hint="eastAsia" w:ascii="楷体_GB2312" w:hAnsi="方正楷体_GBK" w:eastAsia="楷体_GB2312" w:cs="方正楷体_GBK"/>
          <w:sz w:val="32"/>
          <w:szCs w:val="32"/>
          <w:highlight w:val="none"/>
        </w:rPr>
      </w:pPr>
      <w:r>
        <w:rPr>
          <w:rFonts w:hint="eastAsia" w:ascii="楷体_GB2312" w:hAnsi="方正楷体_GBK" w:eastAsia="楷体_GB2312" w:cs="方正楷体_GBK"/>
          <w:sz w:val="32"/>
          <w:szCs w:val="32"/>
          <w:highlight w:val="none"/>
          <w:lang w:val="en-US" w:eastAsia="zh-CN"/>
        </w:rPr>
        <w:t>北京市“人工智能+教育”研究方向（优先关注）</w:t>
      </w:r>
    </w:p>
    <w:p w14:paraId="2277263B">
      <w:pPr>
        <w:numPr>
          <w:ilvl w:val="0"/>
          <w:numId w:val="3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京娃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系列智能体应用研究</w:t>
      </w:r>
    </w:p>
    <w:p w14:paraId="4D945A27">
      <w:pPr>
        <w:numPr>
          <w:ilvl w:val="0"/>
          <w:numId w:val="3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以数据为支点助力学生健康成长实践研究</w:t>
      </w:r>
    </w:p>
    <w:p w14:paraId="5C44953E">
      <w:pPr>
        <w:numPr>
          <w:ilvl w:val="0"/>
          <w:numId w:val="3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人工智能支持下“课间一刻钟”实践研究</w:t>
      </w:r>
    </w:p>
    <w:p w14:paraId="1E4C0EC9">
      <w:pPr>
        <w:numPr>
          <w:ilvl w:val="0"/>
          <w:numId w:val="3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北京市人工智能标杆校建设与应用研究</w:t>
      </w:r>
    </w:p>
    <w:p w14:paraId="0F958DBF">
      <w:pPr>
        <w:numPr>
          <w:ilvl w:val="0"/>
          <w:numId w:val="3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智能化校园营养膳食服务管理实践研究</w:t>
      </w:r>
    </w:p>
    <w:p w14:paraId="1C3D272A">
      <w:pPr>
        <w:numPr>
          <w:ilvl w:val="0"/>
          <w:numId w:val="3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基于“一生一端、一生一辅”学习方式研究</w:t>
      </w:r>
    </w:p>
    <w:p w14:paraId="60D204C2">
      <w:pPr>
        <w:numPr>
          <w:ilvl w:val="0"/>
          <w:numId w:val="3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人工智能赋能家校社协同育人模式研究</w:t>
      </w:r>
    </w:p>
    <w:p w14:paraId="13910A5D">
      <w:pPr>
        <w:numPr>
          <w:ilvl w:val="0"/>
          <w:numId w:val="3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数智驱动下学生个性化健康指导实践研究</w:t>
      </w:r>
    </w:p>
    <w:p w14:paraId="72816252">
      <w:pPr>
        <w:numPr>
          <w:ilvl w:val="0"/>
          <w:numId w:val="3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教产学研一体化推动人工智能应用策略研究</w:t>
      </w:r>
    </w:p>
    <w:p w14:paraId="1490F01B">
      <w:pPr>
        <w:numPr>
          <w:ilvl w:val="0"/>
          <w:numId w:val="3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师机生三元协同的新质育人模式研究</w:t>
      </w:r>
    </w:p>
    <w:p w14:paraId="2E94E760">
      <w:pPr>
        <w:numPr>
          <w:ilvl w:val="0"/>
          <w:numId w:val="3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人工智能支持下交叉学科（专业）实践研究</w:t>
      </w:r>
    </w:p>
    <w:p w14:paraId="3CF94940">
      <w:pPr>
        <w:numPr>
          <w:ilvl w:val="0"/>
          <w:numId w:val="3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人工智能赋能创新人才培养方式研究</w:t>
      </w:r>
    </w:p>
    <w:p w14:paraId="44436EA2">
      <w:pPr>
        <w:numPr>
          <w:ilvl w:val="0"/>
          <w:numId w:val="3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中小学人工智能通识课程体系建设与实践研究</w:t>
      </w:r>
    </w:p>
    <w:p w14:paraId="73158997">
      <w:pPr>
        <w:numPr>
          <w:ilvl w:val="0"/>
          <w:numId w:val="3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具身智能设备在教育教学场景的应用研究</w:t>
      </w:r>
    </w:p>
    <w:p w14:paraId="2A70D052">
      <w:pPr>
        <w:numPr>
          <w:ilvl w:val="0"/>
          <w:numId w:val="3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教育人工智能伦理规范研究</w:t>
      </w:r>
    </w:p>
    <w:p w14:paraId="6A8C3CCE">
      <w:pPr>
        <w:numPr>
          <w:ilvl w:val="0"/>
          <w:numId w:val="3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教育人工智能安全风险防控实践研究</w:t>
      </w:r>
    </w:p>
    <w:p w14:paraId="02AD6656">
      <w:pPr>
        <w:numPr>
          <w:ilvl w:val="0"/>
          <w:numId w:val="2"/>
        </w:numPr>
        <w:spacing w:line="560" w:lineRule="exact"/>
        <w:rPr>
          <w:rFonts w:hint="eastAsia" w:ascii="楷体_GB2312" w:hAnsi="方正楷体_GBK" w:eastAsia="楷体_GB2312" w:cs="方正楷体_GBK"/>
          <w:sz w:val="32"/>
          <w:szCs w:val="32"/>
          <w:highlight w:val="none"/>
        </w:rPr>
      </w:pPr>
      <w:r>
        <w:rPr>
          <w:rFonts w:hint="eastAsia" w:ascii="楷体_GB2312" w:hAnsi="方正楷体_GBK" w:eastAsia="楷体_GB2312" w:cs="方正楷体_GBK"/>
          <w:sz w:val="32"/>
          <w:szCs w:val="32"/>
          <w:highlight w:val="none"/>
          <w:lang w:val="en-US" w:eastAsia="zh-CN"/>
        </w:rPr>
        <w:t>深化国家智慧教育平台试点任务（优先关注）</w:t>
      </w:r>
    </w:p>
    <w:p w14:paraId="214B15A3">
      <w:pPr>
        <w:numPr>
          <w:ilvl w:val="0"/>
          <w:numId w:val="3"/>
        </w:numPr>
        <w:spacing w:line="560" w:lineRule="exact"/>
        <w:ind w:left="0" w:leftChars="0" w:firstLine="640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基于国家中小学智慧教育平台资源的“五育”实践研究</w:t>
      </w:r>
    </w:p>
    <w:p w14:paraId="1FE3356D">
      <w:pPr>
        <w:numPr>
          <w:ilvl w:val="0"/>
          <w:numId w:val="3"/>
        </w:numPr>
        <w:spacing w:line="560" w:lineRule="exact"/>
        <w:ind w:left="0" w:leftChars="0" w:firstLine="640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国家智慧教育平台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启悟学习社区应用研究</w:t>
      </w:r>
    </w:p>
    <w:p w14:paraId="7EC2F467">
      <w:pPr>
        <w:numPr>
          <w:ilvl w:val="0"/>
          <w:numId w:val="3"/>
        </w:numPr>
        <w:spacing w:line="560" w:lineRule="exact"/>
        <w:ind w:left="0" w:leftChars="0" w:firstLine="640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国家智慧教育平台－读书平台应用研究</w:t>
      </w:r>
    </w:p>
    <w:p w14:paraId="2CA0B3AB">
      <w:pPr>
        <w:numPr>
          <w:ilvl w:val="0"/>
          <w:numId w:val="3"/>
        </w:numPr>
        <w:spacing w:line="560" w:lineRule="exact"/>
        <w:ind w:left="0" w:leftChars="0" w:firstLine="640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北京市智慧教育平台人工智能通识课程资源应用研究</w:t>
      </w:r>
    </w:p>
    <w:p w14:paraId="52D9EDCD">
      <w:pPr>
        <w:numPr>
          <w:ilvl w:val="0"/>
          <w:numId w:val="3"/>
        </w:numPr>
        <w:spacing w:line="560" w:lineRule="exact"/>
        <w:ind w:left="0" w:leftChars="0" w:firstLine="640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北京市智慧教育平台-AI超市产品工具应用研究</w:t>
      </w:r>
    </w:p>
    <w:p w14:paraId="193FAE88">
      <w:pPr>
        <w:numPr>
          <w:ilvl w:val="0"/>
          <w:numId w:val="2"/>
        </w:numPr>
        <w:spacing w:line="560" w:lineRule="exact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方正楷体_GBK" w:eastAsia="楷体_GB2312" w:cs="方正楷体_GBK"/>
          <w:sz w:val="32"/>
          <w:szCs w:val="32"/>
          <w:highlight w:val="none"/>
          <w:lang w:val="en-US" w:eastAsia="zh-CN"/>
        </w:rPr>
        <w:t>教育数据要素开发利用</w:t>
      </w:r>
    </w:p>
    <w:p w14:paraId="5D5AF283">
      <w:pPr>
        <w:numPr>
          <w:ilvl w:val="0"/>
          <w:numId w:val="3"/>
        </w:numPr>
        <w:spacing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基于学生学习行为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数据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分析与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应用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研究</w:t>
      </w:r>
    </w:p>
    <w:p w14:paraId="642A6D1F">
      <w:pPr>
        <w:numPr>
          <w:ilvl w:val="0"/>
          <w:numId w:val="3"/>
        </w:numPr>
        <w:spacing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基于多模态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学情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数据的教学模式优化研究</w:t>
      </w:r>
    </w:p>
    <w:p w14:paraId="082EEB90">
      <w:pPr>
        <w:numPr>
          <w:ilvl w:val="0"/>
          <w:numId w:val="3"/>
        </w:numPr>
        <w:spacing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基于学生体质健康数据链的建构与实践研究</w:t>
      </w:r>
    </w:p>
    <w:p w14:paraId="3AF8B0CA">
      <w:pPr>
        <w:numPr>
          <w:ilvl w:val="0"/>
          <w:numId w:val="3"/>
        </w:numPr>
        <w:spacing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基于数据要素的教师画像建构研究</w:t>
      </w:r>
    </w:p>
    <w:p w14:paraId="583A67D9">
      <w:pPr>
        <w:numPr>
          <w:ilvl w:val="0"/>
          <w:numId w:val="3"/>
        </w:numPr>
        <w:spacing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基于数据循证的教学与教研模式研究</w:t>
      </w:r>
    </w:p>
    <w:p w14:paraId="420E5419">
      <w:pPr>
        <w:numPr>
          <w:ilvl w:val="0"/>
          <w:numId w:val="3"/>
        </w:numPr>
        <w:spacing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数据驱动下新型教育治理模式研究</w:t>
      </w:r>
    </w:p>
    <w:p w14:paraId="1469E109">
      <w:pPr>
        <w:numPr>
          <w:ilvl w:val="0"/>
          <w:numId w:val="2"/>
        </w:numPr>
        <w:spacing w:line="560" w:lineRule="exact"/>
        <w:ind w:left="640" w:leftChars="0" w:firstLine="0" w:firstLineChars="0"/>
        <w:rPr>
          <w:rFonts w:hint="eastAsia" w:ascii="楷体_GB2312" w:hAnsi="方正楷体_GBK" w:eastAsia="楷体_GB2312" w:cs="方正楷体_GBK"/>
          <w:sz w:val="32"/>
          <w:szCs w:val="32"/>
          <w:highlight w:val="none"/>
        </w:rPr>
      </w:pPr>
      <w:r>
        <w:rPr>
          <w:rFonts w:hint="eastAsia" w:ascii="楷体_GB2312" w:hAnsi="方正楷体_GBK" w:eastAsia="楷体_GB2312" w:cs="方正楷体_GBK"/>
          <w:sz w:val="32"/>
          <w:szCs w:val="32"/>
          <w:highlight w:val="none"/>
        </w:rPr>
        <w:t>教育数字化转型实践研究</w:t>
      </w:r>
    </w:p>
    <w:p w14:paraId="6D3A2E49">
      <w:pPr>
        <w:numPr>
          <w:ilvl w:val="0"/>
          <w:numId w:val="3"/>
        </w:numPr>
        <w:spacing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新技术促进教育教学变革的实践研究</w:t>
      </w:r>
    </w:p>
    <w:p w14:paraId="26BF4B3E">
      <w:pPr>
        <w:numPr>
          <w:ilvl w:val="0"/>
          <w:numId w:val="3"/>
        </w:numPr>
        <w:spacing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新型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数字教育人才培养模式创新研究</w:t>
      </w:r>
    </w:p>
    <w:p w14:paraId="08F15545">
      <w:pPr>
        <w:numPr>
          <w:ilvl w:val="0"/>
          <w:numId w:val="3"/>
        </w:numPr>
        <w:spacing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新型基础设施建设与应用创新研究（包含5G、IP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v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6等技术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以及信创环境下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的应用研究）</w:t>
      </w:r>
    </w:p>
    <w:p w14:paraId="71D52FA4">
      <w:pPr>
        <w:numPr>
          <w:ilvl w:val="0"/>
          <w:numId w:val="3"/>
        </w:numPr>
        <w:spacing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教育数字化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转型背景下诚信教育策略研究</w:t>
      </w:r>
    </w:p>
    <w:p w14:paraId="6500C797">
      <w:pPr>
        <w:numPr>
          <w:ilvl w:val="0"/>
          <w:numId w:val="3"/>
        </w:numPr>
        <w:spacing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一体化教育管理模式建设与应用研究</w:t>
      </w:r>
    </w:p>
    <w:p w14:paraId="57324333">
      <w:pPr>
        <w:numPr>
          <w:ilvl w:val="0"/>
          <w:numId w:val="2"/>
        </w:numPr>
        <w:spacing w:line="560" w:lineRule="exact"/>
        <w:ind w:left="640" w:leftChars="0" w:firstLine="0" w:firstLineChars="0"/>
        <w:rPr>
          <w:rFonts w:hint="eastAsia" w:ascii="楷体_GB2312" w:hAnsi="方正楷体_GBK" w:eastAsia="楷体_GB2312" w:cs="方正楷体_GBK"/>
          <w:sz w:val="32"/>
          <w:szCs w:val="32"/>
          <w:highlight w:val="none"/>
        </w:rPr>
      </w:pPr>
      <w:r>
        <w:rPr>
          <w:rFonts w:hint="eastAsia" w:ascii="楷体_GB2312" w:hAnsi="方正楷体_GBK" w:eastAsia="楷体_GB2312" w:cs="方正楷体_GBK"/>
          <w:sz w:val="32"/>
          <w:szCs w:val="32"/>
          <w:highlight w:val="none"/>
        </w:rPr>
        <w:t>数字教育装备赋能教育教学研究</w:t>
      </w:r>
    </w:p>
    <w:p w14:paraId="7EC5B6D3">
      <w:pPr>
        <w:numPr>
          <w:ilvl w:val="0"/>
          <w:numId w:val="0"/>
        </w:numPr>
        <w:spacing w:line="560" w:lineRule="exact"/>
        <w:ind w:left="640" w:leftChars="0"/>
        <w:rPr>
          <w:rFonts w:hint="eastAsia" w:ascii="仿宋_GB2312" w:hAnsi="等线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等线" w:eastAsia="仿宋_GB2312"/>
          <w:color w:val="000000"/>
          <w:sz w:val="32"/>
          <w:szCs w:val="32"/>
          <w:highlight w:val="none"/>
          <w:lang w:val="en-US" w:eastAsia="zh-CN"/>
        </w:rPr>
        <w:t>33</w:t>
      </w:r>
      <w:r>
        <w:rPr>
          <w:rFonts w:hint="eastAsia" w:ascii="仿宋_GB2312" w:hAnsi="等线" w:eastAsia="仿宋_GB2312"/>
          <w:color w:val="000000"/>
          <w:sz w:val="32"/>
          <w:szCs w:val="32"/>
          <w:highlight w:val="none"/>
        </w:rPr>
        <w:t>.人工智能在中小学实验教学与考试评价中的研究</w:t>
      </w:r>
    </w:p>
    <w:p w14:paraId="6CF565A7">
      <w:pPr>
        <w:spacing w:line="560" w:lineRule="exact"/>
        <w:ind w:firstLine="640" w:firstLineChars="200"/>
        <w:rPr>
          <w:rFonts w:hint="eastAsia" w:ascii="仿宋_GB2312" w:hAnsi="等线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等线" w:eastAsia="仿宋_GB2312"/>
          <w:color w:val="000000"/>
          <w:sz w:val="32"/>
          <w:szCs w:val="32"/>
          <w:highlight w:val="none"/>
          <w:lang w:val="en-US" w:eastAsia="zh-CN"/>
        </w:rPr>
        <w:t>34</w:t>
      </w:r>
      <w:r>
        <w:rPr>
          <w:rFonts w:hint="eastAsia" w:ascii="仿宋_GB2312" w:hAnsi="等线" w:eastAsia="仿宋_GB2312"/>
          <w:color w:val="000000"/>
          <w:sz w:val="32"/>
          <w:szCs w:val="32"/>
          <w:highlight w:val="none"/>
        </w:rPr>
        <w:t>.提升中小学教育装备数字化、智能化的应用研究</w:t>
      </w:r>
    </w:p>
    <w:p w14:paraId="2027AA6B">
      <w:pPr>
        <w:spacing w:line="560" w:lineRule="exact"/>
        <w:ind w:firstLine="640" w:firstLineChars="200"/>
        <w:rPr>
          <w:rFonts w:hint="eastAsia" w:ascii="仿宋_GB2312" w:hAnsi="等线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等线" w:eastAsia="仿宋_GB2312"/>
          <w:color w:val="000000"/>
          <w:sz w:val="32"/>
          <w:szCs w:val="32"/>
          <w:highlight w:val="none"/>
          <w:lang w:val="en-US" w:eastAsia="zh-CN"/>
        </w:rPr>
        <w:t>35</w:t>
      </w:r>
      <w:r>
        <w:rPr>
          <w:rFonts w:hint="eastAsia" w:ascii="仿宋_GB2312" w:hAnsi="等线" w:eastAsia="仿宋_GB2312"/>
          <w:color w:val="000000"/>
          <w:sz w:val="32"/>
          <w:szCs w:val="32"/>
          <w:highlight w:val="none"/>
        </w:rPr>
        <w:t>.中小学智慧图书馆建设研究</w:t>
      </w:r>
    </w:p>
    <w:p w14:paraId="6C45F9FE">
      <w:pPr>
        <w:spacing w:line="560" w:lineRule="exact"/>
        <w:ind w:firstLine="640" w:firstLineChars="200"/>
        <w:rPr>
          <w:rFonts w:hint="eastAsia" w:ascii="仿宋_GB2312" w:hAnsi="等线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等线" w:eastAsia="仿宋_GB2312"/>
          <w:color w:val="000000"/>
          <w:sz w:val="32"/>
          <w:szCs w:val="32"/>
          <w:highlight w:val="none"/>
          <w:lang w:val="en-US" w:eastAsia="zh-CN"/>
        </w:rPr>
        <w:t>36</w:t>
      </w:r>
      <w:r>
        <w:rPr>
          <w:rFonts w:hint="eastAsia" w:ascii="仿宋_GB2312" w:hAnsi="等线" w:eastAsia="仿宋_GB2312"/>
          <w:color w:val="000000"/>
          <w:sz w:val="32"/>
          <w:szCs w:val="32"/>
          <w:highlight w:val="none"/>
        </w:rPr>
        <w:t>.基于大数据的中小学生阅读行为分析研究</w:t>
      </w:r>
    </w:p>
    <w:p w14:paraId="48336231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仿宋_GB2312" w:hAnsi="等线" w:eastAsia="仿宋_GB2312"/>
          <w:color w:val="000000"/>
          <w:sz w:val="32"/>
          <w:szCs w:val="32"/>
          <w:highlight w:val="none"/>
          <w:lang w:val="en-US" w:eastAsia="zh-CN"/>
        </w:rPr>
        <w:t>37</w:t>
      </w:r>
      <w:r>
        <w:rPr>
          <w:rFonts w:hint="eastAsia" w:ascii="仿宋_GB2312" w:hAnsi="等线" w:eastAsia="仿宋_GB2312"/>
          <w:color w:val="000000"/>
          <w:sz w:val="32"/>
          <w:szCs w:val="32"/>
          <w:highlight w:val="none"/>
        </w:rPr>
        <w:t>.数字技术支持下的学科实验教学模式研究</w:t>
      </w:r>
    </w:p>
    <w:p w14:paraId="2C4E80C5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三、成果要求</w:t>
      </w:r>
    </w:p>
    <w:p w14:paraId="74036361">
      <w:pPr>
        <w:spacing w:line="560" w:lineRule="exact"/>
        <w:ind w:firstLine="64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highlight w:val="none"/>
        </w:rPr>
        <w:t>（一）成果导向。</w:t>
      </w:r>
      <w:r>
        <w:rPr>
          <w:rFonts w:hint="eastAsia" w:ascii="仿宋_GB2312" w:hAnsi="等线" w:eastAsia="仿宋_GB2312"/>
          <w:sz w:val="32"/>
          <w:szCs w:val="32"/>
          <w:highlight w:val="none"/>
        </w:rPr>
        <w:t>课题研究成果的形式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须严格按照课题管理办法中有关结题工作的要求执行。</w:t>
      </w:r>
    </w:p>
    <w:p w14:paraId="646B2F3D">
      <w:pPr>
        <w:spacing w:line="560" w:lineRule="exact"/>
        <w:ind w:firstLine="640"/>
        <w:rPr>
          <w:rFonts w:hint="eastAsia" w:ascii="仿宋_GB2312" w:hAnsi="等线" w:eastAsia="仿宋_GB2312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sz w:val="32"/>
          <w:szCs w:val="32"/>
          <w:highlight w:val="none"/>
        </w:rPr>
        <w:t>（二）实践引领。</w:t>
      </w:r>
      <w:r>
        <w:rPr>
          <w:rFonts w:hint="eastAsia" w:ascii="仿宋_GB2312" w:hAnsi="等线" w:eastAsia="仿宋_GB2312"/>
          <w:sz w:val="32"/>
          <w:szCs w:val="32"/>
          <w:highlight w:val="none"/>
        </w:rPr>
        <w:t>课题研究成果聚焦教育数字化转型形势要求，开展人工智能在教育领域的实践探索和场景应用，关注数字教育资源整合汇聚与高质量教育数据集利用等问题，提供可操作的实施路径和典型案例。研究成果应体现实践过程、应用成效、典型案例及相关数据支撑材料。</w:t>
      </w:r>
    </w:p>
    <w:p w14:paraId="6217F59A">
      <w:pPr>
        <w:spacing w:line="560" w:lineRule="exact"/>
        <w:ind w:firstLine="640" w:firstLineChars="200"/>
        <w:rPr>
          <w:rFonts w:hint="eastAsia" w:ascii="仿宋_GB2312" w:hAnsi="等线" w:eastAsia="仿宋_GB2312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val="en"/>
        </w:rPr>
        <w:t>（三）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以点带面</w:t>
      </w:r>
      <w:r>
        <w:rPr>
          <w:rFonts w:hint="eastAsia" w:ascii="楷体" w:hAnsi="楷体" w:eastAsia="楷体" w:cs="楷体"/>
          <w:sz w:val="32"/>
          <w:szCs w:val="32"/>
          <w:highlight w:val="none"/>
          <w:lang w:val="en"/>
        </w:rPr>
        <w:t>。</w:t>
      </w:r>
      <w:r>
        <w:rPr>
          <w:rFonts w:hint="eastAsia" w:ascii="仿宋_GB2312" w:hAnsi="等线" w:eastAsia="仿宋_GB2312"/>
          <w:sz w:val="32"/>
          <w:szCs w:val="32"/>
          <w:highlight w:val="none"/>
          <w:lang w:val="en"/>
        </w:rPr>
        <w:t>课题研究成果要</w:t>
      </w:r>
      <w:r>
        <w:rPr>
          <w:rFonts w:hint="eastAsia" w:ascii="仿宋_GB2312" w:hAnsi="等线" w:eastAsia="仿宋_GB2312"/>
          <w:sz w:val="32"/>
          <w:szCs w:val="32"/>
          <w:highlight w:val="none"/>
        </w:rPr>
        <w:t>对</w:t>
      </w:r>
      <w:r>
        <w:rPr>
          <w:rFonts w:hint="eastAsia" w:ascii="仿宋_GB2312" w:hAnsi="等线" w:eastAsia="仿宋_GB2312"/>
          <w:sz w:val="32"/>
          <w:szCs w:val="32"/>
          <w:highlight w:val="none"/>
          <w:lang w:val="en"/>
        </w:rPr>
        <w:t>区域</w:t>
      </w:r>
      <w:r>
        <w:rPr>
          <w:rFonts w:hint="eastAsia" w:ascii="仿宋_GB2312" w:hAnsi="等线" w:eastAsia="仿宋_GB2312"/>
          <w:sz w:val="32"/>
          <w:szCs w:val="32"/>
          <w:highlight w:val="none"/>
        </w:rPr>
        <w:t>教育数字化发展具有较强的指导意义和应用价值</w:t>
      </w:r>
      <w:r>
        <w:rPr>
          <w:rFonts w:hint="eastAsia" w:ascii="仿宋_GB2312" w:hAnsi="等线" w:eastAsia="仿宋_GB2312"/>
          <w:sz w:val="32"/>
          <w:szCs w:val="32"/>
          <w:highlight w:val="none"/>
          <w:lang w:val="en"/>
        </w:rPr>
        <w:t>，</w:t>
      </w:r>
      <w:r>
        <w:rPr>
          <w:rFonts w:hint="eastAsia" w:ascii="仿宋_GB2312" w:hAnsi="等线" w:eastAsia="仿宋_GB2312"/>
          <w:sz w:val="32"/>
          <w:szCs w:val="32"/>
          <w:highlight w:val="none"/>
        </w:rPr>
        <w:t>通过课题的研究为区域、学校的教育发展</w:t>
      </w:r>
      <w:r>
        <w:rPr>
          <w:rFonts w:hint="eastAsia" w:ascii="仿宋_GB2312" w:hAnsi="等线" w:eastAsia="仿宋_GB2312"/>
          <w:sz w:val="32"/>
          <w:szCs w:val="32"/>
          <w:highlight w:val="none"/>
          <w:lang w:val="en"/>
        </w:rPr>
        <w:t>提供</w:t>
      </w:r>
      <w:r>
        <w:rPr>
          <w:rFonts w:hint="eastAsia" w:ascii="仿宋_GB2312" w:hAnsi="等线" w:eastAsia="仿宋_GB2312"/>
          <w:sz w:val="32"/>
          <w:szCs w:val="32"/>
          <w:highlight w:val="none"/>
        </w:rPr>
        <w:t>可操作、</w:t>
      </w:r>
      <w:r>
        <w:rPr>
          <w:rFonts w:hint="eastAsia" w:ascii="仿宋_GB2312" w:hAnsi="等线" w:eastAsia="仿宋_GB2312"/>
          <w:sz w:val="32"/>
          <w:szCs w:val="32"/>
          <w:highlight w:val="none"/>
          <w:lang w:val="en"/>
        </w:rPr>
        <w:t>可落地的方法论</w:t>
      </w:r>
      <w:r>
        <w:rPr>
          <w:rFonts w:hint="eastAsia" w:ascii="仿宋_GB2312" w:hAnsi="等线" w:eastAsia="仿宋_GB2312"/>
          <w:sz w:val="32"/>
          <w:szCs w:val="32"/>
          <w:highlight w:val="none"/>
        </w:rPr>
        <w:t>和</w:t>
      </w:r>
      <w:r>
        <w:rPr>
          <w:rFonts w:hint="eastAsia" w:ascii="仿宋_GB2312" w:hAnsi="等线" w:eastAsia="仿宋_GB2312"/>
          <w:sz w:val="32"/>
          <w:szCs w:val="32"/>
          <w:highlight w:val="none"/>
          <w:lang w:val="en"/>
        </w:rPr>
        <w:t>工具箱，</w:t>
      </w:r>
      <w:r>
        <w:rPr>
          <w:rFonts w:hint="eastAsia" w:ascii="仿宋_GB2312" w:hAnsi="等线" w:eastAsia="仿宋_GB2312"/>
          <w:sz w:val="32"/>
          <w:szCs w:val="32"/>
          <w:highlight w:val="none"/>
        </w:rPr>
        <w:t>逐步带动区域、学校规模化应用，有效破解教育教学中的痛点难点问题，为</w:t>
      </w:r>
      <w:r>
        <w:rPr>
          <w:rFonts w:hint="eastAsia" w:ascii="仿宋_GB2312" w:hAnsi="等线" w:eastAsia="仿宋_GB2312"/>
          <w:sz w:val="32"/>
          <w:szCs w:val="32"/>
          <w:highlight w:val="none"/>
          <w:lang w:val="en"/>
        </w:rPr>
        <w:t>提升</w:t>
      </w:r>
      <w:r>
        <w:rPr>
          <w:rFonts w:hint="eastAsia" w:ascii="仿宋_GB2312" w:hAnsi="等线" w:eastAsia="仿宋_GB2312"/>
          <w:sz w:val="32"/>
          <w:szCs w:val="32"/>
          <w:highlight w:val="none"/>
        </w:rPr>
        <w:t>首都</w:t>
      </w:r>
      <w:r>
        <w:rPr>
          <w:rFonts w:hint="eastAsia" w:ascii="仿宋_GB2312" w:hAnsi="等线" w:eastAsia="仿宋_GB2312"/>
          <w:sz w:val="32"/>
          <w:szCs w:val="32"/>
          <w:highlight w:val="none"/>
          <w:lang w:val="en"/>
        </w:rPr>
        <w:t>教育高质量发展</w:t>
      </w:r>
      <w:r>
        <w:rPr>
          <w:rFonts w:hint="eastAsia" w:ascii="仿宋_GB2312" w:hAnsi="等线" w:eastAsia="仿宋_GB2312"/>
          <w:sz w:val="32"/>
          <w:szCs w:val="32"/>
          <w:highlight w:val="none"/>
        </w:rPr>
        <w:t>提供</w:t>
      </w:r>
      <w:r>
        <w:rPr>
          <w:rFonts w:hint="eastAsia" w:ascii="仿宋_GB2312" w:hAnsi="等线" w:eastAsia="仿宋_GB2312"/>
          <w:sz w:val="32"/>
          <w:szCs w:val="32"/>
          <w:highlight w:val="none"/>
          <w:lang w:val="en"/>
        </w:rPr>
        <w:t>动能。</w:t>
      </w:r>
    </w:p>
    <w:p w14:paraId="203DAD28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四、申报名额分配情况</w:t>
      </w:r>
    </w:p>
    <w:p w14:paraId="0DFC2CE7">
      <w:pPr>
        <w:spacing w:line="560" w:lineRule="exact"/>
        <w:ind w:firstLine="640" w:firstLineChars="200"/>
        <w:rPr>
          <w:rFonts w:ascii="仿宋_GB2312" w:hAnsi="等线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等线" w:eastAsia="仿宋_GB2312"/>
          <w:sz w:val="32"/>
          <w:szCs w:val="32"/>
          <w:highlight w:val="none"/>
        </w:rPr>
        <w:t>为规范和加强北京市数字教育研究课题的管理工作，根据《北京市数字教育研究课题管理办法》（202</w:t>
      </w:r>
      <w:r>
        <w:rPr>
          <w:rFonts w:hint="eastAsia" w:ascii="仿宋_GB2312" w:hAnsi="等线" w:eastAsia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等线" w:eastAsia="仿宋_GB2312"/>
          <w:sz w:val="32"/>
          <w:szCs w:val="32"/>
          <w:highlight w:val="none"/>
        </w:rPr>
        <w:t>年修订版）相关规定及北京市数字教育研究工作的实际情况，</w:t>
      </w:r>
      <w:r>
        <w:rPr>
          <w:rFonts w:hint="eastAsia" w:ascii="仿宋_GB2312" w:hAnsi="等线" w:eastAsia="仿宋_GB2312"/>
          <w:color w:val="000000"/>
          <w:sz w:val="32"/>
          <w:szCs w:val="32"/>
          <w:highlight w:val="none"/>
        </w:rPr>
        <w:t>本年度</w:t>
      </w:r>
      <w:r>
        <w:rPr>
          <w:rFonts w:hint="eastAsia" w:ascii="仿宋_GB2312" w:hAnsi="等线" w:eastAsia="仿宋_GB2312"/>
          <w:sz w:val="32"/>
          <w:szCs w:val="32"/>
          <w:highlight w:val="none"/>
          <w:lang w:val="en-US" w:eastAsia="zh-CN"/>
        </w:rPr>
        <w:t>各区申报数额分配方案是</w:t>
      </w:r>
      <w:r>
        <w:rPr>
          <w:rFonts w:hint="eastAsia" w:ascii="仿宋_GB2312" w:hAnsi="等线" w:eastAsia="仿宋_GB2312"/>
          <w:color w:val="000000"/>
          <w:sz w:val="32"/>
          <w:szCs w:val="32"/>
          <w:highlight w:val="none"/>
        </w:rPr>
        <w:t>依据各区在职教师的数量及上一年度各区所</w:t>
      </w:r>
      <w:r>
        <w:rPr>
          <w:rFonts w:hint="eastAsia" w:ascii="仿宋_GB2312" w:hAnsi="等线" w:eastAsia="仿宋_GB2312"/>
          <w:color w:val="000000"/>
          <w:sz w:val="32"/>
          <w:szCs w:val="32"/>
          <w:highlight w:val="none"/>
          <w:lang w:val="en-US" w:eastAsia="zh-CN"/>
        </w:rPr>
        <w:t>属课题校</w:t>
      </w:r>
      <w:r>
        <w:rPr>
          <w:rFonts w:hint="eastAsia" w:ascii="仿宋_GB2312" w:hAnsi="等线" w:eastAsia="仿宋_GB2312"/>
          <w:color w:val="000000"/>
          <w:sz w:val="32"/>
          <w:szCs w:val="32"/>
          <w:highlight w:val="none"/>
        </w:rPr>
        <w:t>课题执行情况制定</w:t>
      </w:r>
      <w:r>
        <w:rPr>
          <w:rFonts w:hint="eastAsia" w:ascii="仿宋_GB2312" w:hAnsi="等线" w:eastAsia="仿宋_GB2312"/>
          <w:color w:val="00000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等线" w:eastAsia="仿宋_GB2312"/>
          <w:color w:val="000000"/>
          <w:sz w:val="32"/>
          <w:szCs w:val="32"/>
          <w:highlight w:val="none"/>
          <w:lang w:val="en-US" w:eastAsia="zh-CN"/>
        </w:rPr>
        <w:t>各组织单位报送重点课题数量不超过申报数额总数的50%，</w:t>
      </w:r>
      <w:r>
        <w:rPr>
          <w:rFonts w:hint="eastAsia" w:ascii="仿宋_GB2312" w:hAnsi="等线" w:eastAsia="仿宋_GB2312"/>
          <w:color w:val="000000"/>
          <w:sz w:val="32"/>
          <w:szCs w:val="32"/>
          <w:highlight w:val="none"/>
        </w:rPr>
        <w:t>请各组织单位遵照执行。具体情况如下：</w:t>
      </w:r>
    </w:p>
    <w:p w14:paraId="25AF23BB">
      <w:pPr>
        <w:spacing w:line="56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</w:p>
    <w:p w14:paraId="583ECC02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各区及各相关单位课题申报数额分配表</w:t>
      </w:r>
    </w:p>
    <w:tbl>
      <w:tblPr>
        <w:tblStyle w:val="3"/>
        <w:tblW w:w="4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1671"/>
        <w:gridCol w:w="1455"/>
      </w:tblGrid>
      <w:tr w14:paraId="0C2E7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81BEC7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8968CB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地区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"/>
              </w:rPr>
              <w:t>/单位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E6FE87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申报数额</w:t>
            </w:r>
          </w:p>
        </w:tc>
      </w:tr>
      <w:tr w14:paraId="4CE3D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A7F80F1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C022F43">
            <w:pPr>
              <w:widowControl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东城区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506858D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13</w:t>
            </w:r>
          </w:p>
        </w:tc>
      </w:tr>
      <w:tr w14:paraId="3C4D1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992FB4D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0A4FEE8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西城区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15E0FB0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13</w:t>
            </w:r>
          </w:p>
        </w:tc>
      </w:tr>
      <w:tr w14:paraId="3A5CC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5B53166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3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4DFE67E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朝阳区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1D2364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17</w:t>
            </w:r>
          </w:p>
        </w:tc>
      </w:tr>
      <w:tr w14:paraId="46372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A8B51A3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4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0E7FD35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海淀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区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77B94C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18</w:t>
            </w:r>
          </w:p>
        </w:tc>
      </w:tr>
      <w:tr w14:paraId="0C22C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01EE0E8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5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6E6BA35">
            <w:pPr>
              <w:widowControl/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丰台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区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D6D7D40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13</w:t>
            </w:r>
          </w:p>
        </w:tc>
      </w:tr>
      <w:tr w14:paraId="454E2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5DD7083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6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1FFE356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石景山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区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5534334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7</w:t>
            </w:r>
          </w:p>
        </w:tc>
      </w:tr>
      <w:tr w14:paraId="3FB97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186B305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7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F077CCD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门头沟区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592A8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7</w:t>
            </w:r>
          </w:p>
        </w:tc>
      </w:tr>
      <w:tr w14:paraId="6D745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2E87C76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8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EEE0955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房山区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51A70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7</w:t>
            </w:r>
          </w:p>
        </w:tc>
      </w:tr>
      <w:tr w14:paraId="36AD7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7BCD23C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9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0E9E024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通州区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CF587E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12</w:t>
            </w:r>
          </w:p>
        </w:tc>
      </w:tr>
      <w:tr w14:paraId="68969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7987C68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10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FF0EA29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顺义区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92092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8</w:t>
            </w:r>
          </w:p>
        </w:tc>
      </w:tr>
      <w:tr w14:paraId="761F7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086FDBE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11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A95825E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昌平区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13A173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13</w:t>
            </w:r>
          </w:p>
        </w:tc>
      </w:tr>
      <w:tr w14:paraId="39201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AD1510A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12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E84D233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大兴区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6AEBB8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12</w:t>
            </w:r>
          </w:p>
        </w:tc>
      </w:tr>
      <w:tr w14:paraId="34892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B5AC4EE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13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524A560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怀柔区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B3B63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8</w:t>
            </w:r>
          </w:p>
        </w:tc>
      </w:tr>
      <w:tr w14:paraId="05E3A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454C1EF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14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A3B6904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平谷区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64368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7</w:t>
            </w:r>
          </w:p>
        </w:tc>
      </w:tr>
      <w:tr w14:paraId="6ED35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C3039AD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15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1BC2198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密云区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02D35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7</w:t>
            </w:r>
          </w:p>
        </w:tc>
      </w:tr>
      <w:tr w14:paraId="0CFC0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9D0F312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16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A994D98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延庆区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85A64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7</w:t>
            </w:r>
          </w:p>
        </w:tc>
      </w:tr>
      <w:tr w14:paraId="351C3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4E38002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17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BDC2A6B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燕山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地区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2DA5E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7</w:t>
            </w:r>
          </w:p>
        </w:tc>
      </w:tr>
      <w:tr w14:paraId="106E9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AA0E659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18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50D2602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经开区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9AF19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7</w:t>
            </w:r>
          </w:p>
        </w:tc>
      </w:tr>
      <w:tr w14:paraId="06184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exac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8C80567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19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3A89935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各市属高校、市教委直管、直属单位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06D74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4</w:t>
            </w:r>
          </w:p>
        </w:tc>
      </w:tr>
    </w:tbl>
    <w:p w14:paraId="543CDAA8">
      <w:pPr>
        <w:autoSpaceDE w:val="0"/>
        <w:autoSpaceDN w:val="0"/>
        <w:spacing w:line="520" w:lineRule="exact"/>
        <w:jc w:val="left"/>
        <w:rPr>
          <w:rFonts w:hint="eastAsia" w:ascii="仿宋_GB2312" w:hAnsi="等线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hAnsi="等线" w:eastAsia="仿宋_GB2312"/>
          <w:kern w:val="0"/>
          <w:sz w:val="32"/>
          <w:szCs w:val="32"/>
          <w:highlight w:val="none"/>
        </w:rPr>
        <w:t xml:space="preserve">                   </w:t>
      </w:r>
    </w:p>
    <w:p w14:paraId="1DE06693"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088B2B0-8C71-43D6-80AA-E47FC9E402D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9DE9689-DD09-4905-9E2F-85CA474525A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2562F56C-DB43-439D-ACEC-20B74AC68D1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CF7F5EF5-94A7-4A48-8AA5-AD66927DDA0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B9D1BA16-29FC-49BA-AC1E-FF0CA4663D3E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6" w:fontKey="{952E3A87-CC8D-43F1-854C-FE9FA6C75848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7" w:fontKey="{FC46AF49-D1CF-455F-93C8-585CB1CA295F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8" w:fontKey="{6983DDC9-B68D-499B-8E71-BBF2324226E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9" w:fontKey="{82EF9E44-9F6F-4349-96ED-515D7C579BE0}"/>
  </w:font>
  <w:font w:name="方正楷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10" w:fontKey="{E085C9E9-06BB-4C63-8E83-0212B583D97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4240DE"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13 -</w:t>
    </w:r>
    <w:r>
      <w:rPr>
        <w:rFonts w:ascii="宋体" w:hAnsi="宋体"/>
        <w:sz w:val="28"/>
        <w:szCs w:val="28"/>
      </w:rPr>
      <w:fldChar w:fldCharType="end"/>
    </w:r>
  </w:p>
  <w:p w14:paraId="2EACBE10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36ACE3">
    <w:pPr>
      <w:pStyle w:val="2"/>
      <w:rPr>
        <w:rFonts w:ascii="宋体" w:hAnsi="宋体"/>
        <w:sz w:val="28"/>
        <w:szCs w:val="28"/>
      </w:rPr>
    </w:pPr>
  </w:p>
  <w:p w14:paraId="5E00B49C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5FFACC"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13 -</w:t>
    </w:r>
    <w:r>
      <w:rPr>
        <w:rFonts w:ascii="宋体" w:hAnsi="宋体"/>
        <w:sz w:val="28"/>
        <w:szCs w:val="28"/>
      </w:rPr>
      <w:fldChar w:fldCharType="end"/>
    </w:r>
  </w:p>
  <w:p w14:paraId="1510827B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383939"/>
    <w:multiLevelType w:val="singleLevel"/>
    <w:tmpl w:val="8D383939"/>
    <w:lvl w:ilvl="0" w:tentative="0">
      <w:start w:val="1"/>
      <w:numFmt w:val="chineseCounting"/>
      <w:suff w:val="nothing"/>
      <w:lvlText w:val="（%1）"/>
      <w:lvlJc w:val="left"/>
      <w:pPr>
        <w:ind w:left="640" w:firstLine="0"/>
      </w:pPr>
    </w:lvl>
  </w:abstractNum>
  <w:abstractNum w:abstractNumId="1">
    <w:nsid w:val="0EA82540"/>
    <w:multiLevelType w:val="singleLevel"/>
    <w:tmpl w:val="0EA82540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38B5744F"/>
    <w:multiLevelType w:val="singleLevel"/>
    <w:tmpl w:val="38B5744F"/>
    <w:lvl w:ilvl="0" w:tentative="0">
      <w:start w:val="2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2"/>
    <w:lvlOverride w:ilvl="0">
      <w:startOverride w:val="2"/>
    </w:lvlOverride>
  </w:num>
  <w:num w:numId="2">
    <w:abstractNumId w:val="0"/>
    <w:lvlOverride w:ilvl="0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652BBE"/>
    <w:rsid w:val="4F2441F3"/>
    <w:rsid w:val="61EE7309"/>
    <w:rsid w:val="7177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1905</Words>
  <Characters>1959</Characters>
  <Lines>0</Lines>
  <Paragraphs>0</Paragraphs>
  <TotalTime>0</TotalTime>
  <ScaleCrop>false</ScaleCrop>
  <LinksUpToDate>false</LinksUpToDate>
  <CharactersWithSpaces>1978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2025-05-13T07:32:00Z</dcterms:created>
  <dc:creator>Lenovo</dc:creator>
  <cp:lastModifiedBy>111</cp:lastModifiedBy>
  <dcterms:modified xsi:type="dcterms:W3CDTF">2026-05-11T06:31:36Z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eyJoZGlkIjoiNjk2YTc5NzFkMjI2MzJhMWZlNmJhYzRlN2M1NTdmZGUiLCJ1c2VySWQiOiIyMzY1MzM2OTYifQ==</vt:lpwstr>
  </property>
  <property fmtid="{D5CDD505-2E9C-101B-9397-08002B2CF9AE}" pid="4" name="ICV">
    <vt:lpwstr>A45456753B57457282CE8732FBB633AA_12</vt:lpwstr>
  </property>
</Properties>
</file>